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33" w:rsidRPr="007A35F2" w:rsidRDefault="009D1491" w:rsidP="00CF23A3">
      <w:pPr>
        <w:pStyle w:val="berschrift1"/>
        <w:keepNext w:val="0"/>
        <w:suppressAutoHyphens/>
      </w:pPr>
      <w:r w:rsidRPr="007A35F2">
        <w:t xml:space="preserve">Prognose der </w:t>
      </w:r>
      <w:r>
        <w:t xml:space="preserve">privaten </w:t>
      </w:r>
      <w:r w:rsidRPr="007A35F2">
        <w:t>Kreditnutzung</w:t>
      </w:r>
      <w:r>
        <w:t xml:space="preserve">: </w:t>
      </w:r>
      <w:r w:rsidR="00E800C4" w:rsidRPr="007A35F2">
        <w:t>Konsumkredit-Index</w:t>
      </w:r>
      <w:r w:rsidR="00346C7F">
        <w:t xml:space="preserve"> </w:t>
      </w:r>
      <w:r>
        <w:t xml:space="preserve">für </w:t>
      </w:r>
      <w:r w:rsidR="00346C7F" w:rsidRPr="007A35F2">
        <w:t>202</w:t>
      </w:r>
      <w:r>
        <w:t>3</w:t>
      </w:r>
      <w:r w:rsidR="00346C7F" w:rsidRPr="007A35F2">
        <w:t>/202</w:t>
      </w:r>
      <w:r>
        <w:t>4</w:t>
      </w:r>
      <w:r w:rsidR="00E800C4" w:rsidRPr="007A35F2">
        <w:t xml:space="preserve"> stabil </w:t>
      </w:r>
      <w:r>
        <w:t>| Deutliche Erholung zum Vorjahreswert</w:t>
      </w:r>
    </w:p>
    <w:p w:rsidR="00F71441" w:rsidRDefault="00E800C4" w:rsidP="00CF23A3">
      <w:pPr>
        <w:pStyle w:val="Grundtext"/>
        <w:suppressAutoHyphens/>
        <w:spacing w:after="360"/>
      </w:pPr>
      <w:r w:rsidRPr="007A35F2">
        <w:t>Berlin</w:t>
      </w:r>
      <w:r w:rsidR="00F71441" w:rsidRPr="007A35F2">
        <w:t xml:space="preserve">, </w:t>
      </w:r>
      <w:r w:rsidR="007C2370">
        <w:t>0</w:t>
      </w:r>
      <w:r w:rsidR="007C2370" w:rsidRPr="007C2370">
        <w:t>2.</w:t>
      </w:r>
      <w:r w:rsidR="00F71441" w:rsidRPr="007A35F2">
        <w:t xml:space="preserve"> </w:t>
      </w:r>
      <w:r w:rsidR="009D1491">
        <w:t>August</w:t>
      </w:r>
      <w:r w:rsidRPr="007A35F2">
        <w:t xml:space="preserve"> 202</w:t>
      </w:r>
      <w:r w:rsidR="009D1491">
        <w:t>3</w:t>
      </w:r>
      <w:r w:rsidR="00F71441" w:rsidRPr="007A35F2">
        <w:t xml:space="preserve">. </w:t>
      </w:r>
      <w:r w:rsidRPr="007A35F2">
        <w:t>Privatpersonen w</w:t>
      </w:r>
      <w:r w:rsidR="007A35F2" w:rsidRPr="007A35F2">
        <w:t>e</w:t>
      </w:r>
      <w:r w:rsidRPr="007A35F2">
        <w:t xml:space="preserve">rden </w:t>
      </w:r>
      <w:r w:rsidR="00FE1610">
        <w:t>in den kommenden zwölf Monaten in vergleichbarem Maß</w:t>
      </w:r>
      <w:r w:rsidR="007A35F2" w:rsidRPr="007A35F2">
        <w:t xml:space="preserve"> Kredite zur Anschaffung </w:t>
      </w:r>
      <w:r w:rsidR="007A35F2">
        <w:t xml:space="preserve">von Konsumgütern nutzen </w:t>
      </w:r>
      <w:r w:rsidR="00FE1610">
        <w:t>wie</w:t>
      </w:r>
      <w:r w:rsidR="007A35F2">
        <w:t xml:space="preserve"> in den vergangen</w:t>
      </w:r>
      <w:r w:rsidR="00605B11">
        <w:t>en</w:t>
      </w:r>
      <w:r w:rsidR="007A35F2">
        <w:t xml:space="preserve"> zwölf Monaten. </w:t>
      </w:r>
      <w:r w:rsidR="00FE1610">
        <w:t>Zu dieser Prognose kommt</w:t>
      </w:r>
      <w:r w:rsidR="007A35F2">
        <w:t xml:space="preserve"> der aktuelle Konsumkredit-Index </w:t>
      </w:r>
      <w:r w:rsidR="00104A27">
        <w:t xml:space="preserve">(KKI) </w:t>
      </w:r>
      <w:r w:rsidR="007A35F2">
        <w:t>des Bankenfachverbandes</w:t>
      </w:r>
      <w:r w:rsidR="00FE1610">
        <w:t xml:space="preserve"> mit einem Wert von 98 Punkten.</w:t>
      </w:r>
      <w:r w:rsidR="00605B11">
        <w:t xml:space="preserve"> </w:t>
      </w:r>
      <w:r w:rsidR="00FE1610">
        <w:t>Hierfür hat die</w:t>
      </w:r>
      <w:r w:rsidR="00605B11">
        <w:t xml:space="preserve"> Marktforschungsgesellschaft Ipsos </w:t>
      </w:r>
      <w:r w:rsidR="00104A27">
        <w:t>rund 1.</w:t>
      </w:r>
      <w:r w:rsidR="00FE1610">
        <w:t>7</w:t>
      </w:r>
      <w:r w:rsidR="00104A27">
        <w:t xml:space="preserve">00 </w:t>
      </w:r>
      <w:r w:rsidR="00605B11">
        <w:t>Verbraucherhaushalte nach ihren Konsum- und Finanzierungsabsichten befragt.</w:t>
      </w:r>
      <w:r w:rsidR="00104A27">
        <w:t xml:space="preserve"> </w:t>
      </w:r>
      <w:r w:rsidR="00D033E5">
        <w:t xml:space="preserve">„Die Nachfrage nach Konsumkrediten wird </w:t>
      </w:r>
      <w:r w:rsidR="00240F45">
        <w:t>in 2023 und 2024</w:t>
      </w:r>
      <w:r w:rsidR="00D033E5">
        <w:t xml:space="preserve"> stabil bleiben“, </w:t>
      </w:r>
      <w:r w:rsidR="008720B6">
        <w:t>erwartet</w:t>
      </w:r>
      <w:r w:rsidR="00D033E5">
        <w:t xml:space="preserve"> Jens Loa, Geschäftsführer des Bankenfachverbandes, auf Basis der Studienergebnisse.</w:t>
      </w:r>
    </w:p>
    <w:p w:rsidR="00FA6E51" w:rsidRDefault="00FE1610" w:rsidP="00CF23A3">
      <w:pPr>
        <w:pStyle w:val="Grundtext"/>
        <w:suppressAutoHyphens/>
        <w:spacing w:after="360"/>
      </w:pPr>
      <w:r>
        <w:rPr>
          <w:b/>
        </w:rPr>
        <w:t>Indexwert 20 Punkte über Vorjahr</w:t>
      </w:r>
      <w:r w:rsidR="00FA6E51">
        <w:rPr>
          <w:b/>
        </w:rPr>
        <w:br/>
      </w:r>
      <w:r w:rsidR="00240F45">
        <w:t xml:space="preserve">Im Vergleich zum </w:t>
      </w:r>
      <w:r w:rsidR="00BC58AD">
        <w:t>KKI</w:t>
      </w:r>
      <w:r w:rsidR="00240F45">
        <w:t xml:space="preserve"> für 2022/2023, der vor einem Jahr erhoben wurde, zeigt sich im aktuellen Index-Wert eine deutliche </w:t>
      </w:r>
      <w:r w:rsidR="001019CA">
        <w:t>Entspannung</w:t>
      </w:r>
      <w:r w:rsidR="00240F45">
        <w:t xml:space="preserve">. Damals hatte der KKI, der seit zwölf Jahren zweimal jährlich </w:t>
      </w:r>
      <w:r w:rsidR="001019CA">
        <w:t>erstellt</w:t>
      </w:r>
      <w:r w:rsidR="00240F45">
        <w:t xml:space="preserve"> wird, mit einem Wert von 78 Punkten ein Allzeittief erreicht. Eine Verbesserung der Verbraucherstimmung </w:t>
      </w:r>
      <w:r w:rsidR="00772005">
        <w:t>zeichnete</w:t>
      </w:r>
      <w:r w:rsidR="00240F45">
        <w:t xml:space="preserve"> sich bereits im Frühjahr </w:t>
      </w:r>
      <w:r w:rsidR="00BC58AD">
        <w:t>2023 mit einem KKI von</w:t>
      </w:r>
      <w:r w:rsidR="00240F45">
        <w:t xml:space="preserve"> 95 Punkte</w:t>
      </w:r>
      <w:r w:rsidR="00BC58AD">
        <w:t>n</w:t>
      </w:r>
      <w:r w:rsidR="00772005">
        <w:t xml:space="preserve"> ab</w:t>
      </w:r>
      <w:r w:rsidR="00240F45">
        <w:t>.</w:t>
      </w:r>
      <w:r w:rsidR="00FF7001">
        <w:t xml:space="preserve"> Die Erholung hat sich damit weiter fortgesetzt. „Konsumkredite bleiben nach wie vor ein wichtiges Mittel, um Verbraucherhaushalten die Anschaffung von Konsumgütern zu ermöglichen“, </w:t>
      </w:r>
      <w:r w:rsidR="00590F1E">
        <w:t>sagt</w:t>
      </w:r>
      <w:r w:rsidR="00FF7001">
        <w:t xml:space="preserve"> Loa</w:t>
      </w:r>
      <w:r w:rsidR="001F47BA">
        <w:t xml:space="preserve"> und ergänzt: „Gerade in Zeiten </w:t>
      </w:r>
      <w:r w:rsidR="000074C7">
        <w:t>zurückhaltender</w:t>
      </w:r>
      <w:r w:rsidR="001F47BA">
        <w:t xml:space="preserve"> Anschaffungsneigung sind Finanzierungsangebote essenziell, um die Konjunktur anzukurbeln.“</w:t>
      </w:r>
    </w:p>
    <w:p w:rsidR="00BC58AD" w:rsidRDefault="00BC58AD" w:rsidP="00BC58AD">
      <w:pPr>
        <w:pStyle w:val="Grundtext"/>
        <w:suppressAutoHyphens/>
        <w:spacing w:after="360"/>
      </w:pPr>
      <w:r w:rsidRPr="00BC58AD">
        <w:rPr>
          <w:b/>
        </w:rPr>
        <w:t>Mehr Kredite für Haushaltsgroßgeräte</w:t>
      </w:r>
      <w:r>
        <w:rPr>
          <w:b/>
        </w:rPr>
        <w:br/>
      </w:r>
      <w:r>
        <w:t xml:space="preserve">Mit einer konstanten Kreditnachfrage ist </w:t>
      </w:r>
      <w:r w:rsidR="000074C7">
        <w:t xml:space="preserve">laut dem aktuellen KKI </w:t>
      </w:r>
      <w:r>
        <w:t xml:space="preserve">in den Bereichen Autos, Möbel und Küchen sowie Unterhaltungselektronik zu rechnen. </w:t>
      </w:r>
      <w:r w:rsidR="00772005">
        <w:t xml:space="preserve">Eine verstärkte Finanzierungsnutzung </w:t>
      </w:r>
      <w:r w:rsidR="00743960">
        <w:t xml:space="preserve">in 2023 und 2024 </w:t>
      </w:r>
      <w:r w:rsidR="00772005">
        <w:t>erwartet der Bankenfachverband hingegen bei der Anschaffung von Haushaltsgroßgeräten sowie sonstigen Konsumgütern.</w:t>
      </w:r>
      <w:r w:rsidR="00C9523C">
        <w:t xml:space="preserve"> </w:t>
      </w:r>
      <w:r>
        <w:t xml:space="preserve"> </w:t>
      </w:r>
    </w:p>
    <w:p w:rsidR="0092623F" w:rsidRPr="00BC58AD" w:rsidRDefault="0092623F" w:rsidP="00143FB1">
      <w:pPr>
        <w:pStyle w:val="Grundtext"/>
        <w:suppressAutoHyphens/>
        <w:spacing w:after="360" w:line="240" w:lineRule="exact"/>
      </w:pPr>
      <w:r w:rsidRPr="00673E26">
        <w:rPr>
          <w:b/>
          <w:sz w:val="16"/>
          <w:szCs w:val="16"/>
        </w:rPr>
        <w:t xml:space="preserve">Anlagen: </w:t>
      </w:r>
      <w:r w:rsidRPr="009D1491">
        <w:rPr>
          <w:sz w:val="16"/>
          <w:szCs w:val="16"/>
        </w:rPr>
        <w:t>Infografik Konsumkredit-Index</w:t>
      </w:r>
      <w:r w:rsidRPr="00E63AD2">
        <w:rPr>
          <w:color w:val="004E9E" w:themeColor="accent2"/>
          <w:sz w:val="16"/>
          <w:szCs w:val="16"/>
        </w:rPr>
        <w:t xml:space="preserve">, </w:t>
      </w:r>
      <w:r w:rsidRPr="009D1491">
        <w:rPr>
          <w:sz w:val="16"/>
          <w:szCs w:val="16"/>
        </w:rPr>
        <w:t>Studie KKI 202</w:t>
      </w:r>
      <w:r w:rsidR="009D1491">
        <w:rPr>
          <w:sz w:val="16"/>
          <w:szCs w:val="16"/>
        </w:rPr>
        <w:t>3</w:t>
      </w:r>
      <w:r w:rsidRPr="009D1491">
        <w:rPr>
          <w:sz w:val="16"/>
          <w:szCs w:val="16"/>
        </w:rPr>
        <w:t>/202</w:t>
      </w:r>
      <w:r w:rsidR="009D1491">
        <w:rPr>
          <w:sz w:val="16"/>
          <w:szCs w:val="16"/>
        </w:rPr>
        <w:t>4</w:t>
      </w:r>
      <w:r>
        <w:rPr>
          <w:sz w:val="16"/>
          <w:szCs w:val="16"/>
        </w:rPr>
        <w:br/>
      </w:r>
      <w:r w:rsidRPr="00A51E76">
        <w:rPr>
          <w:b/>
          <w:sz w:val="16"/>
          <w:szCs w:val="16"/>
        </w:rPr>
        <w:t>Textfassung</w:t>
      </w:r>
      <w:r w:rsidRPr="00A51E76">
        <w:rPr>
          <w:sz w:val="16"/>
          <w:szCs w:val="16"/>
        </w:rPr>
        <w:t xml:space="preserve">: </w:t>
      </w:r>
      <w:r w:rsidRPr="00E63AD2">
        <w:rPr>
          <w:sz w:val="16"/>
          <w:szCs w:val="16"/>
        </w:rPr>
        <w:t xml:space="preserve">www.bfach.de / Presse </w:t>
      </w:r>
      <w:r w:rsidRPr="009D1491">
        <w:rPr>
          <w:sz w:val="16"/>
          <w:szCs w:val="16"/>
        </w:rPr>
        <w:t xml:space="preserve">/ </w:t>
      </w:r>
      <w:r w:rsidR="007C2370" w:rsidRPr="007C2370">
        <w:rPr>
          <w:sz w:val="16"/>
          <w:szCs w:val="16"/>
        </w:rPr>
        <w:t>02</w:t>
      </w:r>
      <w:r w:rsidR="009D1491" w:rsidRPr="007C2370">
        <w:rPr>
          <w:sz w:val="16"/>
          <w:szCs w:val="16"/>
        </w:rPr>
        <w:t>.</w:t>
      </w:r>
      <w:r w:rsidRPr="00E63AD2">
        <w:rPr>
          <w:sz w:val="16"/>
          <w:szCs w:val="16"/>
        </w:rPr>
        <w:t>0</w:t>
      </w:r>
      <w:r w:rsidR="009D1491">
        <w:rPr>
          <w:sz w:val="16"/>
          <w:szCs w:val="16"/>
        </w:rPr>
        <w:t>8</w:t>
      </w:r>
      <w:r w:rsidRPr="00E63AD2">
        <w:rPr>
          <w:sz w:val="16"/>
          <w:szCs w:val="16"/>
        </w:rPr>
        <w:t>.2</w:t>
      </w:r>
      <w:r w:rsidR="009D1491">
        <w:rPr>
          <w:sz w:val="16"/>
          <w:szCs w:val="16"/>
        </w:rPr>
        <w:t>3</w:t>
      </w:r>
      <w:r w:rsidRPr="00A51E76">
        <w:rPr>
          <w:sz w:val="16"/>
          <w:szCs w:val="16"/>
        </w:rPr>
        <w:br/>
      </w:r>
      <w:r w:rsidRPr="00A51E76">
        <w:rPr>
          <w:b/>
          <w:sz w:val="16"/>
          <w:szCs w:val="16"/>
        </w:rPr>
        <w:t xml:space="preserve">Kontakt: </w:t>
      </w:r>
      <w:r w:rsidRPr="00A51E76">
        <w:rPr>
          <w:sz w:val="16"/>
          <w:szCs w:val="16"/>
        </w:rPr>
        <w:t xml:space="preserve">Bankenfachverband, Stephan Moll, Leiter Markt und PR, Tel. 030 2462596-14, </w:t>
      </w:r>
      <w:hyperlink r:id="rId7" w:history="1">
        <w:r w:rsidRPr="0092623F">
          <w:rPr>
            <w:sz w:val="16"/>
            <w:szCs w:val="16"/>
          </w:rPr>
          <w:t>stephan.moll@bfach.de</w:t>
        </w:r>
      </w:hyperlink>
    </w:p>
    <w:p w:rsidR="0092623F" w:rsidRDefault="007740D8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</w:pPr>
      <w:r>
        <w:br w:type="page"/>
      </w:r>
      <w:r w:rsidRPr="00A51E76">
        <w:rPr>
          <w:b/>
          <w:szCs w:val="22"/>
        </w:rPr>
        <w:lastRenderedPageBreak/>
        <w:t>Konsumkredit-Index 202</w:t>
      </w:r>
      <w:r w:rsidR="009D1491">
        <w:rPr>
          <w:b/>
          <w:szCs w:val="22"/>
        </w:rPr>
        <w:t>3</w:t>
      </w:r>
      <w:r>
        <w:rPr>
          <w:b/>
          <w:szCs w:val="22"/>
        </w:rPr>
        <w:t>/202</w:t>
      </w:r>
      <w:r w:rsidR="009D1491">
        <w:rPr>
          <w:b/>
          <w:szCs w:val="22"/>
        </w:rPr>
        <w:t>4</w:t>
      </w:r>
      <w:r w:rsidRPr="00A51E76">
        <w:rPr>
          <w:b/>
          <w:szCs w:val="22"/>
        </w:rPr>
        <w:br/>
      </w:r>
      <w:r w:rsidR="009D14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421005</wp:posOffset>
            </wp:positionV>
            <wp:extent cx="4858512" cy="485851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I_2023_2024_BFACH_Infograf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485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76">
        <w:rPr>
          <w:szCs w:val="22"/>
        </w:rPr>
        <w:t>Prognose der Konsumkreditnutzung in Deutschland</w:t>
      </w:r>
    </w:p>
    <w:p w:rsidR="00FA6E51" w:rsidRPr="0092623F" w:rsidRDefault="00FA6E51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</w:pPr>
    </w:p>
    <w:p w:rsidR="00FA6E51" w:rsidRDefault="00FA6E51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  <w:rPr>
          <w:szCs w:val="22"/>
        </w:rPr>
      </w:pPr>
    </w:p>
    <w:p w:rsidR="00FA6E51" w:rsidRDefault="00FA6E51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  <w:rPr>
          <w:szCs w:val="22"/>
        </w:rPr>
      </w:pPr>
    </w:p>
    <w:p w:rsidR="00FA6E51" w:rsidRDefault="00FA6E51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  <w:rPr>
          <w:szCs w:val="22"/>
        </w:rPr>
      </w:pPr>
    </w:p>
    <w:p w:rsidR="00FA6E51" w:rsidRDefault="00FA6E51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  <w:rPr>
          <w:szCs w:val="22"/>
        </w:rPr>
      </w:pPr>
    </w:p>
    <w:p w:rsidR="007740D8" w:rsidRDefault="007740D8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FA6E51" w:rsidRDefault="00FA6E51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FA6E51" w:rsidRDefault="00FA6E51" w:rsidP="00D171C9">
      <w:pPr>
        <w:pStyle w:val="Grundtext"/>
        <w:spacing w:after="360" w:line="240" w:lineRule="exact"/>
        <w:rPr>
          <w:noProof/>
          <w:szCs w:val="22"/>
        </w:rPr>
      </w:pPr>
    </w:p>
    <w:p w:rsidR="007735ED" w:rsidRDefault="007735ED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7735ED" w:rsidRDefault="007735ED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7735ED" w:rsidRDefault="007735ED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7735ED" w:rsidRDefault="007735ED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7735ED" w:rsidRDefault="007735ED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92623F" w:rsidRPr="007740D8" w:rsidRDefault="0092623F" w:rsidP="0092623F">
      <w:pPr>
        <w:pStyle w:val="Grundtext"/>
        <w:spacing w:after="360" w:line="240" w:lineRule="exact"/>
        <w:rPr>
          <w:b/>
          <w:sz w:val="18"/>
          <w:szCs w:val="18"/>
        </w:rPr>
      </w:pPr>
      <w:r w:rsidRPr="007A35F2">
        <w:rPr>
          <w:b/>
          <w:sz w:val="18"/>
          <w:szCs w:val="18"/>
        </w:rPr>
        <w:t xml:space="preserve">Der Bankenfachverband </w:t>
      </w:r>
      <w:r w:rsidRPr="007740D8">
        <w:rPr>
          <w:sz w:val="18"/>
          <w:szCs w:val="18"/>
        </w:rPr>
        <w:t>(BFACH)</w:t>
      </w:r>
      <w:r w:rsidRPr="007A35F2">
        <w:rPr>
          <w:b/>
          <w:sz w:val="18"/>
          <w:szCs w:val="18"/>
        </w:rPr>
        <w:t xml:space="preserve"> </w:t>
      </w:r>
      <w:r w:rsidRPr="007A35F2">
        <w:rPr>
          <w:sz w:val="18"/>
          <w:szCs w:val="18"/>
        </w:rPr>
        <w:t>vertritt die Interessen der Kreditbanken in Deutschland. Seine Mitglieder sind die Experten für die Finanzierung von Konsum- und Investitionsgütern wie Kraftfahrzeugen aller Art. Die Kreditbanken haben mehr als 1</w:t>
      </w:r>
      <w:r w:rsidR="009D1491">
        <w:rPr>
          <w:sz w:val="18"/>
          <w:szCs w:val="18"/>
        </w:rPr>
        <w:t>8</w:t>
      </w:r>
      <w:r w:rsidRPr="007A35F2">
        <w:rPr>
          <w:sz w:val="18"/>
          <w:szCs w:val="18"/>
        </w:rPr>
        <w:t>0 Milliarden Euro an Verbraucher und Unternehmen ausgeliehen und fördern damit Wirtschaft und Konjunktur.</w:t>
      </w:r>
      <w:r w:rsidRPr="00A51E7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A51E76">
        <w:rPr>
          <w:b/>
          <w:sz w:val="18"/>
          <w:szCs w:val="18"/>
        </w:rPr>
        <w:t>Der Konsumkredit-Index</w:t>
      </w:r>
      <w:r w:rsidRPr="00A51E7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(KKI) </w:t>
      </w:r>
      <w:r w:rsidRPr="00A51E76">
        <w:rPr>
          <w:sz w:val="18"/>
          <w:szCs w:val="18"/>
        </w:rPr>
        <w:t xml:space="preserve">prognostiziert die private Kreditaufnahme in den kommenden zwölf Monaten. Dazu befragt Ipsos </w:t>
      </w:r>
      <w:r w:rsidR="009D1491">
        <w:rPr>
          <w:sz w:val="18"/>
          <w:szCs w:val="18"/>
        </w:rPr>
        <w:t>zweimal jährlich</w:t>
      </w:r>
      <w:r w:rsidRPr="00A51E76">
        <w:rPr>
          <w:sz w:val="18"/>
          <w:szCs w:val="18"/>
        </w:rPr>
        <w:t xml:space="preserve"> rund </w:t>
      </w:r>
      <w:r>
        <w:rPr>
          <w:sz w:val="18"/>
          <w:szCs w:val="18"/>
        </w:rPr>
        <w:t>1.</w:t>
      </w:r>
      <w:r w:rsidR="009D1491">
        <w:rPr>
          <w:sz w:val="18"/>
          <w:szCs w:val="18"/>
        </w:rPr>
        <w:t>7</w:t>
      </w:r>
      <w:r>
        <w:rPr>
          <w:sz w:val="18"/>
          <w:szCs w:val="18"/>
        </w:rPr>
        <w:t>00</w:t>
      </w:r>
      <w:r w:rsidRPr="00A51E76">
        <w:rPr>
          <w:sz w:val="18"/>
          <w:szCs w:val="18"/>
        </w:rPr>
        <w:t xml:space="preserve"> Haushalte über das </w:t>
      </w:r>
      <w:r w:rsidR="009D1491">
        <w:rPr>
          <w:sz w:val="18"/>
          <w:szCs w:val="18"/>
        </w:rPr>
        <w:t>Haushalts</w:t>
      </w:r>
      <w:r w:rsidRPr="00A51E76">
        <w:rPr>
          <w:sz w:val="18"/>
          <w:szCs w:val="18"/>
        </w:rPr>
        <w:t>panel der GfK. Ein Indexwert von 100 zeigt eine Entwicklung auf Vorjahresniveau, ab 125 steigt die Kreditnutzung signifikant.</w:t>
      </w:r>
      <w:r w:rsidRPr="007740D8">
        <w:rPr>
          <w:sz w:val="18"/>
          <w:szCs w:val="18"/>
        </w:rPr>
        <w:t xml:space="preserve"> Index</w:t>
      </w:r>
      <w:r w:rsidR="00120C8A">
        <w:rPr>
          <w:sz w:val="18"/>
          <w:szCs w:val="18"/>
        </w:rPr>
        <w:t>w</w:t>
      </w:r>
      <w:r w:rsidRPr="007740D8">
        <w:rPr>
          <w:sz w:val="18"/>
          <w:szCs w:val="18"/>
        </w:rPr>
        <w:t>erte unter 75 Punkten beschreiben einen signifikanten Rückgang.</w:t>
      </w:r>
      <w:r w:rsidR="00173F03">
        <w:rPr>
          <w:sz w:val="18"/>
          <w:szCs w:val="18"/>
        </w:rPr>
        <w:t xml:space="preserve"> </w:t>
      </w:r>
      <w:r w:rsidR="00173F03" w:rsidRPr="00173F03">
        <w:rPr>
          <w:sz w:val="18"/>
          <w:szCs w:val="18"/>
        </w:rPr>
        <w:t xml:space="preserve">Der aktuelle KKI wurde von Mitte </w:t>
      </w:r>
      <w:r w:rsidR="009D1491">
        <w:rPr>
          <w:sz w:val="18"/>
          <w:szCs w:val="18"/>
        </w:rPr>
        <w:t>Mai</w:t>
      </w:r>
      <w:r w:rsidR="00173F03" w:rsidRPr="00173F03">
        <w:rPr>
          <w:sz w:val="18"/>
          <w:szCs w:val="18"/>
        </w:rPr>
        <w:t xml:space="preserve"> 202</w:t>
      </w:r>
      <w:r w:rsidR="009D1491">
        <w:rPr>
          <w:sz w:val="18"/>
          <w:szCs w:val="18"/>
        </w:rPr>
        <w:t>3</w:t>
      </w:r>
      <w:r w:rsidR="00173F03" w:rsidRPr="00173F03">
        <w:rPr>
          <w:sz w:val="18"/>
          <w:szCs w:val="18"/>
        </w:rPr>
        <w:t xml:space="preserve"> bis Mitte </w:t>
      </w:r>
      <w:r w:rsidR="009D1491">
        <w:rPr>
          <w:sz w:val="18"/>
          <w:szCs w:val="18"/>
        </w:rPr>
        <w:t>Juni</w:t>
      </w:r>
      <w:r w:rsidR="00173F03" w:rsidRPr="00173F03">
        <w:rPr>
          <w:sz w:val="18"/>
          <w:szCs w:val="18"/>
        </w:rPr>
        <w:t xml:space="preserve"> 202</w:t>
      </w:r>
      <w:r w:rsidR="009D1491">
        <w:rPr>
          <w:sz w:val="18"/>
          <w:szCs w:val="18"/>
        </w:rPr>
        <w:t>3</w:t>
      </w:r>
      <w:r w:rsidR="00173F03" w:rsidRPr="00173F03">
        <w:rPr>
          <w:sz w:val="18"/>
          <w:szCs w:val="18"/>
        </w:rPr>
        <w:t xml:space="preserve"> erhoben.</w:t>
      </w:r>
    </w:p>
    <w:p w:rsidR="007735ED" w:rsidRPr="0092623F" w:rsidRDefault="0092623F" w:rsidP="0092623F">
      <w:pPr>
        <w:tabs>
          <w:tab w:val="clear" w:pos="1239"/>
          <w:tab w:val="clear" w:pos="3686"/>
          <w:tab w:val="clear" w:pos="8845"/>
        </w:tabs>
        <w:spacing w:after="360" w:line="240" w:lineRule="exact"/>
        <w:rPr>
          <w:sz w:val="18"/>
          <w:szCs w:val="18"/>
        </w:rPr>
      </w:pPr>
      <w:r w:rsidRPr="0092623F">
        <w:rPr>
          <w:sz w:val="18"/>
          <w:szCs w:val="18"/>
        </w:rPr>
        <w:t xml:space="preserve">Anlage zur Presseinformation des Bankenfachverbandes vom </w:t>
      </w:r>
      <w:bookmarkStart w:id="0" w:name="_GoBack"/>
      <w:bookmarkEnd w:id="0"/>
      <w:r w:rsidR="007C2370" w:rsidRPr="007C2370">
        <w:rPr>
          <w:sz w:val="18"/>
          <w:szCs w:val="18"/>
        </w:rPr>
        <w:t>02</w:t>
      </w:r>
      <w:r w:rsidRPr="009D1491">
        <w:rPr>
          <w:sz w:val="18"/>
          <w:szCs w:val="18"/>
        </w:rPr>
        <w:t>.</w:t>
      </w:r>
      <w:r w:rsidRPr="0092623F">
        <w:rPr>
          <w:sz w:val="18"/>
          <w:szCs w:val="18"/>
        </w:rPr>
        <w:t xml:space="preserve"> </w:t>
      </w:r>
      <w:r w:rsidR="009D1491">
        <w:rPr>
          <w:sz w:val="18"/>
          <w:szCs w:val="18"/>
        </w:rPr>
        <w:t>August</w:t>
      </w:r>
      <w:r w:rsidRPr="0092623F">
        <w:rPr>
          <w:sz w:val="18"/>
          <w:szCs w:val="18"/>
        </w:rPr>
        <w:t xml:space="preserve"> 202</w:t>
      </w:r>
      <w:r w:rsidR="009D1491">
        <w:rPr>
          <w:sz w:val="18"/>
          <w:szCs w:val="18"/>
        </w:rPr>
        <w:t>3</w:t>
      </w:r>
    </w:p>
    <w:sectPr w:rsidR="007735ED" w:rsidRPr="0092623F">
      <w:headerReference w:type="default" r:id="rId9"/>
      <w:footerReference w:type="default" r:id="rId10"/>
      <w:headerReference w:type="first" r:id="rId11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C1" w:rsidRDefault="002943C1">
      <w:r>
        <w:separator/>
      </w:r>
    </w:p>
  </w:endnote>
  <w:endnote w:type="continuationSeparator" w:id="0">
    <w:p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C1" w:rsidRDefault="002943C1">
      <w:r>
        <w:separator/>
      </w:r>
    </w:p>
  </w:footnote>
  <w:footnote w:type="continuationSeparator" w:id="0">
    <w:p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32F01FC3" wp14:editId="40FF3A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2D3B070D" wp14:editId="4C8A58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074C7"/>
    <w:rsid w:val="0002276B"/>
    <w:rsid w:val="0007149B"/>
    <w:rsid w:val="0009102C"/>
    <w:rsid w:val="000C3C99"/>
    <w:rsid w:val="000D1BEC"/>
    <w:rsid w:val="000D4B9C"/>
    <w:rsid w:val="001019CA"/>
    <w:rsid w:val="00104A27"/>
    <w:rsid w:val="00114227"/>
    <w:rsid w:val="00120C8A"/>
    <w:rsid w:val="00143FB1"/>
    <w:rsid w:val="0016197B"/>
    <w:rsid w:val="00173F03"/>
    <w:rsid w:val="001825A2"/>
    <w:rsid w:val="001A10C2"/>
    <w:rsid w:val="001B6762"/>
    <w:rsid w:val="001D7533"/>
    <w:rsid w:val="001F41FF"/>
    <w:rsid w:val="001F47BA"/>
    <w:rsid w:val="00240F45"/>
    <w:rsid w:val="00272D13"/>
    <w:rsid w:val="00277A3B"/>
    <w:rsid w:val="002943C1"/>
    <w:rsid w:val="00294B11"/>
    <w:rsid w:val="00314A84"/>
    <w:rsid w:val="00332BEB"/>
    <w:rsid w:val="00346C7F"/>
    <w:rsid w:val="00384BD3"/>
    <w:rsid w:val="003932BC"/>
    <w:rsid w:val="003A1675"/>
    <w:rsid w:val="003C41AF"/>
    <w:rsid w:val="003E3A71"/>
    <w:rsid w:val="00405261"/>
    <w:rsid w:val="00423343"/>
    <w:rsid w:val="004354F4"/>
    <w:rsid w:val="00466336"/>
    <w:rsid w:val="00472BB4"/>
    <w:rsid w:val="00484071"/>
    <w:rsid w:val="004D2BAA"/>
    <w:rsid w:val="004D5778"/>
    <w:rsid w:val="004F76EE"/>
    <w:rsid w:val="00524B20"/>
    <w:rsid w:val="00525AC1"/>
    <w:rsid w:val="00587B6B"/>
    <w:rsid w:val="00590F1E"/>
    <w:rsid w:val="00594916"/>
    <w:rsid w:val="005E5D59"/>
    <w:rsid w:val="005E6E26"/>
    <w:rsid w:val="00603C18"/>
    <w:rsid w:val="00605B11"/>
    <w:rsid w:val="00607FD3"/>
    <w:rsid w:val="006178EB"/>
    <w:rsid w:val="00667A9A"/>
    <w:rsid w:val="006803FF"/>
    <w:rsid w:val="0069336B"/>
    <w:rsid w:val="006A62CE"/>
    <w:rsid w:val="006C180D"/>
    <w:rsid w:val="006C6114"/>
    <w:rsid w:val="0071716D"/>
    <w:rsid w:val="00743960"/>
    <w:rsid w:val="00771BD5"/>
    <w:rsid w:val="00772005"/>
    <w:rsid w:val="007735ED"/>
    <w:rsid w:val="007740D8"/>
    <w:rsid w:val="00787795"/>
    <w:rsid w:val="007A35F1"/>
    <w:rsid w:val="007A35F2"/>
    <w:rsid w:val="007B6AA1"/>
    <w:rsid w:val="007C2370"/>
    <w:rsid w:val="007C496F"/>
    <w:rsid w:val="007D50EC"/>
    <w:rsid w:val="00802C0C"/>
    <w:rsid w:val="00815B37"/>
    <w:rsid w:val="00826CEA"/>
    <w:rsid w:val="00843C04"/>
    <w:rsid w:val="008476B3"/>
    <w:rsid w:val="00853059"/>
    <w:rsid w:val="00854905"/>
    <w:rsid w:val="00856D2C"/>
    <w:rsid w:val="008720B6"/>
    <w:rsid w:val="00884CBA"/>
    <w:rsid w:val="009216AE"/>
    <w:rsid w:val="0092623F"/>
    <w:rsid w:val="009A47F0"/>
    <w:rsid w:val="009D1491"/>
    <w:rsid w:val="009F272A"/>
    <w:rsid w:val="00A040E4"/>
    <w:rsid w:val="00A10B11"/>
    <w:rsid w:val="00A47F5D"/>
    <w:rsid w:val="00A62A4C"/>
    <w:rsid w:val="00AA5A54"/>
    <w:rsid w:val="00AE27F3"/>
    <w:rsid w:val="00AE3BCB"/>
    <w:rsid w:val="00B84338"/>
    <w:rsid w:val="00B96E8F"/>
    <w:rsid w:val="00BC58AD"/>
    <w:rsid w:val="00BF7408"/>
    <w:rsid w:val="00C2006E"/>
    <w:rsid w:val="00C31A1A"/>
    <w:rsid w:val="00C9523C"/>
    <w:rsid w:val="00CE6E1F"/>
    <w:rsid w:val="00CF20D9"/>
    <w:rsid w:val="00CF23A3"/>
    <w:rsid w:val="00D033E5"/>
    <w:rsid w:val="00D171C9"/>
    <w:rsid w:val="00D55FC3"/>
    <w:rsid w:val="00D71B3E"/>
    <w:rsid w:val="00D808A1"/>
    <w:rsid w:val="00D860EF"/>
    <w:rsid w:val="00DC1D5A"/>
    <w:rsid w:val="00DF1006"/>
    <w:rsid w:val="00E04FD9"/>
    <w:rsid w:val="00E0642A"/>
    <w:rsid w:val="00E36BFA"/>
    <w:rsid w:val="00E63AD2"/>
    <w:rsid w:val="00E800C4"/>
    <w:rsid w:val="00EB2F09"/>
    <w:rsid w:val="00ED0A11"/>
    <w:rsid w:val="00F3533E"/>
    <w:rsid w:val="00F71441"/>
    <w:rsid w:val="00F77C49"/>
    <w:rsid w:val="00F8701A"/>
    <w:rsid w:val="00FA279B"/>
    <w:rsid w:val="00FA6E51"/>
    <w:rsid w:val="00FE161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7F33F56"/>
  <w15:docId w15:val="{E4A1F3CE-2972-4F03-B33C-DFAE105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an.moll@bfac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3032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Nermana Ljubuncic</cp:lastModifiedBy>
  <cp:revision>2</cp:revision>
  <cp:lastPrinted>2023-07-25T14:23:00Z</cp:lastPrinted>
  <dcterms:created xsi:type="dcterms:W3CDTF">2023-07-31T15:27:00Z</dcterms:created>
  <dcterms:modified xsi:type="dcterms:W3CDTF">2023-07-31T15:27:00Z</dcterms:modified>
</cp:coreProperties>
</file>