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59" w:rsidRDefault="008A0659" w:rsidP="008A0659">
      <w:pPr>
        <w:pStyle w:val="Grundtext"/>
        <w:suppressAutoHyphens/>
        <w:spacing w:after="360"/>
        <w:rPr>
          <w:rFonts w:cs="Arial"/>
          <w:b/>
          <w:bCs/>
          <w:kern w:val="32"/>
          <w:sz w:val="26"/>
          <w:szCs w:val="32"/>
        </w:rPr>
      </w:pPr>
      <w:r w:rsidRPr="008A0659">
        <w:rPr>
          <w:rFonts w:cs="Arial"/>
          <w:b/>
          <w:bCs/>
          <w:kern w:val="32"/>
          <w:sz w:val="26"/>
          <w:szCs w:val="32"/>
        </w:rPr>
        <w:t xml:space="preserve">Finanzierungsgeschäft wächst im ersten Halbjahr 2023: </w:t>
      </w:r>
      <w:r>
        <w:rPr>
          <w:rFonts w:cs="Arial"/>
          <w:b/>
          <w:bCs/>
          <w:kern w:val="32"/>
          <w:sz w:val="26"/>
          <w:szCs w:val="32"/>
        </w:rPr>
        <w:br/>
      </w:r>
      <w:r w:rsidRPr="008A0659">
        <w:rPr>
          <w:rFonts w:cs="Arial"/>
          <w:bCs/>
          <w:kern w:val="32"/>
          <w:sz w:val="26"/>
          <w:szCs w:val="32"/>
        </w:rPr>
        <w:t>Kreditbanken steigern gesamte Neukreditvergabe | Bestandsplus in allen Geschäfts</w:t>
      </w:r>
      <w:r>
        <w:rPr>
          <w:rFonts w:cs="Arial"/>
          <w:bCs/>
          <w:kern w:val="32"/>
          <w:sz w:val="26"/>
          <w:szCs w:val="32"/>
        </w:rPr>
        <w:t>feldern</w:t>
      </w:r>
    </w:p>
    <w:p w:rsidR="008A0659" w:rsidRDefault="008A0659" w:rsidP="008A0659">
      <w:pPr>
        <w:pStyle w:val="Grundtext"/>
        <w:suppressAutoHyphens/>
        <w:spacing w:after="360"/>
        <w:rPr>
          <w:lang w:val="en-US"/>
        </w:rPr>
      </w:pPr>
      <w:r>
        <w:rPr>
          <w:lang w:val="en-US"/>
        </w:rPr>
        <w:t xml:space="preserve">Berlin, </w:t>
      </w:r>
      <w:r w:rsidR="007F2EBA">
        <w:rPr>
          <w:lang w:val="en-US"/>
        </w:rPr>
        <w:t>14</w:t>
      </w:r>
      <w:r>
        <w:rPr>
          <w:lang w:val="en-US"/>
        </w:rPr>
        <w:t xml:space="preserve">. September 2023. In der ersten Jahreshälfte 2023 haben die auf Finanzierungen von Konsum- und Investitionsgütern spezialisierten Kreditbanken Kredite im Gesamtwert von 64,1 Milliarden Euro an Privatpersonen und Unternehmen vergeben. Das sind 5,4 Prozent mehr als im Vorjahreszeitraum. Sie finanzierten insgesamt 555 Tausend Kraftfahrzeuge, dies ist ein Plus von 3,2 Prozent. </w:t>
      </w:r>
    </w:p>
    <w:p w:rsidR="008A0659" w:rsidRDefault="008A0659" w:rsidP="008A0659">
      <w:pPr>
        <w:pStyle w:val="Grundtext"/>
        <w:suppressAutoHyphens/>
        <w:spacing w:after="360"/>
        <w:rPr>
          <w:lang w:val="en-US"/>
        </w:rPr>
      </w:pPr>
      <w:r>
        <w:rPr>
          <w:lang w:val="en-US"/>
        </w:rPr>
        <w:t>“Insgesamt hat sich das Finanzierungsgeschäft der Kreditbanken im ersten Halbjahr 2023 weiter gut entwickelt”, sagt Jens Loa, Geschäftsführer des Bankenfachverbandes. Dies zeigt sich am kontinuierlichen Wachstum des Kreditbestandes, der zum 30. Juni 2023 bei 191,6 Mill</w:t>
      </w:r>
      <w:r w:rsidR="00563847">
        <w:rPr>
          <w:lang w:val="en-US"/>
        </w:rPr>
        <w:t>i</w:t>
      </w:r>
      <w:bookmarkStart w:id="0" w:name="_GoBack"/>
      <w:bookmarkEnd w:id="0"/>
      <w:r>
        <w:rPr>
          <w:lang w:val="en-US"/>
        </w:rPr>
        <w:t>arden Euro und damit 7,6 Prozent über dem Wert des Vorjahres lag. Im Kreditneugeschäft gab es in den einzelnen Geschäftsfeldern unterschiedliche Entwicklungen.</w:t>
      </w:r>
    </w:p>
    <w:p w:rsidR="008A0659" w:rsidRDefault="008A0659" w:rsidP="008A0659">
      <w:pPr>
        <w:pStyle w:val="Grundtext"/>
        <w:suppressAutoHyphens/>
        <w:spacing w:after="360"/>
        <w:rPr>
          <w:rFonts w:cs="Arial"/>
          <w:b/>
          <w:bCs/>
          <w:iCs/>
          <w:szCs w:val="28"/>
        </w:rPr>
      </w:pPr>
      <w:r>
        <w:rPr>
          <w:rFonts w:cs="Arial"/>
          <w:b/>
          <w:bCs/>
          <w:iCs/>
          <w:szCs w:val="28"/>
        </w:rPr>
        <w:t>Weniger neue Konsumfinanzierungen, aber mehr Kfz-Kredite</w:t>
      </w:r>
    </w:p>
    <w:p w:rsidR="008A0659" w:rsidRDefault="008A0659" w:rsidP="008A0659">
      <w:pPr>
        <w:pStyle w:val="Grundtext"/>
        <w:suppressAutoHyphens/>
        <w:spacing w:after="360"/>
      </w:pPr>
      <w:r>
        <w:t xml:space="preserve">Insgesamt vergaben die Kreditbanken im ersten Halbjahr neue Konsumkredite im Wert von 26,6 Milliarden Euro und damit 9,6 Prozent weniger als im vergleichbaren Zeitraum des Vorjahres. “Das Konsumklima hat sich zwar seit Ende 2022 erholt, lag </w:t>
      </w:r>
      <w:r w:rsidR="00861466">
        <w:t>in der ersten Hälfte</w:t>
      </w:r>
      <w:r>
        <w:t xml:space="preserve"> 2023 aber immer noch auf niedrigem Niveau”, erläutert Loa diese Entwicklung. Rückläufig waren vor allem Kredite zur freien Verwendung, die häufig im Internet abgeschlossen werden. Dagegen legten Absatzfinanzierungen, wie zur Anschaffung eines Autos, weiter zu. Die privaten Kfz-Finanzierungen der Kreditbanken wuchsen um 9,3 Prozent</w:t>
      </w:r>
      <w:r w:rsidR="00A25D15">
        <w:t xml:space="preserve"> auf </w:t>
      </w:r>
      <w:r w:rsidR="007F2EBA">
        <w:t>9,0</w:t>
      </w:r>
      <w:r w:rsidR="00A25D15">
        <w:t xml:space="preserve"> Milliarden Euro</w:t>
      </w:r>
      <w:r>
        <w:t xml:space="preserve">. </w:t>
      </w:r>
    </w:p>
    <w:p w:rsidR="008A0659" w:rsidRDefault="008A0659" w:rsidP="008A0659">
      <w:pPr>
        <w:pStyle w:val="Grundtext"/>
        <w:suppressAutoHyphens/>
        <w:spacing w:after="360"/>
        <w:rPr>
          <w:b/>
        </w:rPr>
      </w:pPr>
      <w:r>
        <w:rPr>
          <w:b/>
        </w:rPr>
        <w:t>Investitionskredite plus 16 Prozent</w:t>
      </w:r>
    </w:p>
    <w:p w:rsidR="008A0659" w:rsidRDefault="008A0659" w:rsidP="008A0659">
      <w:pPr>
        <w:pStyle w:val="Grundtext"/>
        <w:suppressAutoHyphens/>
        <w:spacing w:after="360"/>
      </w:pPr>
      <w:r>
        <w:t xml:space="preserve">Ebenfalls positiv entwickelte sich die Kreditvergabe an Unternehmen. Die Kreditbanken steigerten ihr Neugeschäft in diesem Bereich um 16,1 Prozent auf 5,3 </w:t>
      </w:r>
      <w:r>
        <w:lastRenderedPageBreak/>
        <w:t>Milliarden Euro. Das Volumen entfällt zu mehr als der Hälfte auf gewerbliche Kfz-Finanzierungen, die ebenfalls deutlich um 16,9 Prozent gewachsen sind. Auch in den Geschäftsfeldern Einkaufsfinanzierung für Händler und Forderungsankauf verzeichneten die Institute zweistellige Zuwächse.</w:t>
      </w:r>
    </w:p>
    <w:p w:rsidR="00F71441" w:rsidRDefault="003A1675" w:rsidP="00D171C9">
      <w:pPr>
        <w:pStyle w:val="Grundtext"/>
        <w:spacing w:after="360" w:line="240" w:lineRule="exact"/>
        <w:rPr>
          <w:sz w:val="18"/>
          <w:szCs w:val="18"/>
        </w:rPr>
      </w:pPr>
      <w:r w:rsidRPr="003A1675">
        <w:rPr>
          <w:b/>
          <w:sz w:val="18"/>
          <w:szCs w:val="18"/>
        </w:rPr>
        <w:t xml:space="preserve">Der Bankenfachverband (BFACH) </w:t>
      </w:r>
      <w:r w:rsidRPr="003A1675">
        <w:rPr>
          <w:sz w:val="18"/>
          <w:szCs w:val="18"/>
        </w:rPr>
        <w:t>vertritt die Interessen der Kreditbanken in Deutschland. Seine Mitglieder sind die Experten für die Finanzierung von Konsum- und Investitionsgütern wie Kraftfahrzeugen aller Art. Die Kreditbanken haben mehr als 1</w:t>
      </w:r>
      <w:r w:rsidR="007474DA">
        <w:rPr>
          <w:sz w:val="18"/>
          <w:szCs w:val="18"/>
        </w:rPr>
        <w:t>9</w:t>
      </w:r>
      <w:r w:rsidRPr="003A1675">
        <w:rPr>
          <w:sz w:val="18"/>
          <w:szCs w:val="18"/>
        </w:rPr>
        <w:t>0 Milliarden Euro an Verbraucher und Unternehmen ausgeliehen und fördern damit Wirtschaft und Konjunktur.</w:t>
      </w:r>
    </w:p>
    <w:p w:rsidR="001D7533" w:rsidRPr="00F71441" w:rsidRDefault="00D63873" w:rsidP="00D171C9">
      <w:pPr>
        <w:pStyle w:val="Grundtext"/>
        <w:spacing w:after="360" w:line="240" w:lineRule="exact"/>
        <w:rPr>
          <w:b/>
          <w:sz w:val="16"/>
          <w:szCs w:val="16"/>
        </w:rPr>
      </w:pPr>
      <w:r w:rsidRPr="00255BF8">
        <w:rPr>
          <w:b/>
          <w:sz w:val="18"/>
          <w:szCs w:val="18"/>
        </w:rPr>
        <w:t>Anlage</w:t>
      </w:r>
      <w:r w:rsidRPr="00255BF8">
        <w:rPr>
          <w:sz w:val="18"/>
          <w:szCs w:val="18"/>
        </w:rPr>
        <w:t xml:space="preserve">: </w:t>
      </w:r>
      <w:r w:rsidRPr="00D63873">
        <w:rPr>
          <w:sz w:val="18"/>
          <w:szCs w:val="18"/>
        </w:rPr>
        <w:t>Halbjahreszahlen 2023 zur Geschäftsentwicklung der Kreditbanken</w:t>
      </w:r>
      <w:r w:rsidRPr="00255BF8">
        <w:rPr>
          <w:sz w:val="18"/>
          <w:szCs w:val="18"/>
        </w:rPr>
        <w:br/>
      </w:r>
      <w:r w:rsidRPr="00255BF8">
        <w:rPr>
          <w:b/>
          <w:sz w:val="18"/>
          <w:szCs w:val="18"/>
        </w:rPr>
        <w:t xml:space="preserve">Link: </w:t>
      </w:r>
      <w:hyperlink r:id="rId7" w:history="1">
        <w:r w:rsidRPr="00255BF8">
          <w:rPr>
            <w:color w:val="004E9E" w:themeColor="accent2"/>
            <w:sz w:val="18"/>
            <w:szCs w:val="18"/>
            <w:u w:val="single"/>
          </w:rPr>
          <w:t>Mitgliedsinstitute des Bankenfachverbandes (Kreditbanken)</w:t>
        </w:r>
      </w:hyperlink>
      <w:r w:rsidR="00D171C9" w:rsidRPr="00F71441">
        <w:rPr>
          <w:sz w:val="16"/>
          <w:szCs w:val="16"/>
        </w:rPr>
        <w:br/>
      </w:r>
      <w:r w:rsidR="00D171C9" w:rsidRPr="00F71441">
        <w:rPr>
          <w:b/>
          <w:sz w:val="16"/>
          <w:szCs w:val="16"/>
        </w:rPr>
        <w:t>Textfassung</w:t>
      </w:r>
      <w:r w:rsidR="00D171C9" w:rsidRPr="00F71441">
        <w:rPr>
          <w:sz w:val="16"/>
          <w:szCs w:val="16"/>
        </w:rPr>
        <w:t xml:space="preserve">: www.bfach.de / Presse / </w:t>
      </w:r>
      <w:r w:rsidR="007F2EBA">
        <w:rPr>
          <w:sz w:val="16"/>
          <w:szCs w:val="16"/>
        </w:rPr>
        <w:t>14</w:t>
      </w:r>
      <w:r w:rsidR="00F71441">
        <w:rPr>
          <w:sz w:val="16"/>
          <w:szCs w:val="16"/>
        </w:rPr>
        <w:t>.</w:t>
      </w:r>
      <w:r>
        <w:rPr>
          <w:sz w:val="16"/>
          <w:szCs w:val="16"/>
        </w:rPr>
        <w:t>09</w:t>
      </w:r>
      <w:r w:rsidR="00F71441">
        <w:rPr>
          <w:sz w:val="16"/>
          <w:szCs w:val="16"/>
        </w:rPr>
        <w:t>.</w:t>
      </w:r>
      <w:r w:rsidR="00A47F5D" w:rsidRPr="00F71441">
        <w:rPr>
          <w:sz w:val="16"/>
          <w:szCs w:val="16"/>
        </w:rPr>
        <w:t>2</w:t>
      </w:r>
      <w:r w:rsidR="007474DA">
        <w:rPr>
          <w:sz w:val="16"/>
          <w:szCs w:val="16"/>
        </w:rPr>
        <w:t>3</w:t>
      </w:r>
      <w:r w:rsidR="00D171C9" w:rsidRPr="00F71441">
        <w:rPr>
          <w:sz w:val="16"/>
          <w:szCs w:val="16"/>
        </w:rPr>
        <w:br/>
      </w:r>
      <w:r w:rsidR="00D171C9" w:rsidRPr="00F71441">
        <w:rPr>
          <w:b/>
          <w:sz w:val="16"/>
          <w:szCs w:val="16"/>
        </w:rPr>
        <w:t xml:space="preserve">Kontakt: </w:t>
      </w:r>
      <w:r w:rsidR="00D171C9" w:rsidRPr="00F71441">
        <w:rPr>
          <w:sz w:val="16"/>
          <w:szCs w:val="16"/>
        </w:rPr>
        <w:t xml:space="preserve">Bankenfachverband, Stephan Moll, Leiter Markt und PR, Tel. 030 2462596-14, </w:t>
      </w:r>
      <w:hyperlink r:id="rId8" w:history="1">
        <w:r w:rsidR="00603C18" w:rsidRPr="00D63873">
          <w:rPr>
            <w:rStyle w:val="Hyperlink"/>
            <w:color w:val="004E9E" w:themeColor="accent2"/>
            <w:sz w:val="16"/>
            <w:szCs w:val="16"/>
          </w:rPr>
          <w:t>stephan.moll@bfach.de</w:t>
        </w:r>
      </w:hyperlink>
    </w:p>
    <w:sectPr w:rsidR="001D7533" w:rsidRPr="00F71441">
      <w:headerReference w:type="default" r:id="rId9"/>
      <w:footerReference w:type="default" r:id="rId10"/>
      <w:headerReference w:type="first" r:id="rId11"/>
      <w:footerReference w:type="first" r:id="rId12"/>
      <w:pgSz w:w="11906" w:h="16838" w:code="9"/>
      <w:pgMar w:top="3402" w:right="1361" w:bottom="1701" w:left="1701" w:header="249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B97" w:rsidRDefault="00FC7B97">
      <w:r>
        <w:separator/>
      </w:r>
    </w:p>
  </w:endnote>
  <w:endnote w:type="continuationSeparator" w:id="0">
    <w:p w:rsidR="00FC7B97" w:rsidRDefault="00FC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825A2">
    <w:pP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815" w:rsidRDefault="00881815">
    <w:pPr>
      <w:pStyle w:val="Fuzeile"/>
    </w:pPr>
    <w:r>
      <w:rPr>
        <w:noProof/>
      </w:rPr>
      <w:drawing>
        <wp:anchor distT="0" distB="0" distL="114300" distR="114300" simplePos="0" relativeHeight="251660800" behindDoc="1" locked="0" layoutInCell="1" allowOverlap="1" wp14:anchorId="0061F7FA" wp14:editId="4972E5BF">
          <wp:simplePos x="0" y="0"/>
          <wp:positionH relativeFrom="column">
            <wp:posOffset>-1108710</wp:posOffset>
          </wp:positionH>
          <wp:positionV relativeFrom="paragraph">
            <wp:posOffset>-21590</wp:posOffset>
          </wp:positionV>
          <wp:extent cx="7606800" cy="637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eine Fußzeile.jpg"/>
                  <pic:cNvPicPr/>
                </pic:nvPicPr>
                <pic:blipFill>
                  <a:blip r:embed="rId1">
                    <a:extLst>
                      <a:ext uri="{28A0092B-C50C-407E-A947-70E740481C1C}">
                        <a14:useLocalDpi xmlns:a14="http://schemas.microsoft.com/office/drawing/2010/main" val="0"/>
                      </a:ext>
                    </a:extLst>
                  </a:blip>
                  <a:stretch>
                    <a:fillRect/>
                  </a:stretch>
                </pic:blipFill>
                <pic:spPr>
                  <a:xfrm>
                    <a:off x="0" y="0"/>
                    <a:ext cx="7606800" cy="63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B97" w:rsidRDefault="00FC7B97">
      <w:r>
        <w:separator/>
      </w:r>
    </w:p>
  </w:footnote>
  <w:footnote w:type="continuationSeparator" w:id="0">
    <w:p w:rsidR="00FC7B97" w:rsidRDefault="00FC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8752" behindDoc="0" locked="1" layoutInCell="1" allowOverlap="1" wp14:anchorId="32F01FC3" wp14:editId="40FF3A2E">
          <wp:simplePos x="0" y="0"/>
          <wp:positionH relativeFrom="page">
            <wp:posOffset>0</wp:posOffset>
          </wp:positionH>
          <wp:positionV relativeFrom="page">
            <wp:posOffset>0</wp:posOffset>
          </wp:positionV>
          <wp:extent cx="7581900" cy="1424940"/>
          <wp:effectExtent l="0" t="0" r="0" b="3810"/>
          <wp:wrapNone/>
          <wp:docPr id="12" name="Bild 12" descr="briefbo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bogen-2"/>
                  <pic:cNvPicPr>
                    <a:picLocks noChangeAspect="1" noChangeArrowheads="1"/>
                  </pic:cNvPicPr>
                </pic:nvPicPr>
                <pic:blipFill>
                  <a:blip r:embed="rId1">
                    <a:extLst>
                      <a:ext uri="{28A0092B-C50C-407E-A947-70E740481C1C}">
                        <a14:useLocalDpi xmlns:a14="http://schemas.microsoft.com/office/drawing/2010/main" val="0"/>
                      </a:ext>
                    </a:extLst>
                  </a:blip>
                  <a:srcRect b="86697"/>
                  <a:stretch>
                    <a:fillRect/>
                  </a:stretch>
                </pic:blipFill>
                <pic:spPr bwMode="auto">
                  <a:xfrm>
                    <a:off x="0" y="0"/>
                    <a:ext cx="7581900" cy="1424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A2" w:rsidRDefault="001B6762">
    <w:r>
      <w:rPr>
        <w:noProof/>
        <w:sz w:val="20"/>
      </w:rPr>
      <w:drawing>
        <wp:anchor distT="0" distB="0" distL="114300" distR="114300" simplePos="0" relativeHeight="251656704" behindDoc="0" locked="1" layoutInCell="1" allowOverlap="1" wp14:anchorId="2D3B070D" wp14:editId="4C8A5829">
          <wp:simplePos x="0" y="0"/>
          <wp:positionH relativeFrom="page">
            <wp:posOffset>0</wp:posOffset>
          </wp:positionH>
          <wp:positionV relativeFrom="page">
            <wp:posOffset>0</wp:posOffset>
          </wp:positionV>
          <wp:extent cx="7581900" cy="1972945"/>
          <wp:effectExtent l="0" t="0" r="0" b="8255"/>
          <wp:wrapNone/>
          <wp:docPr id="13" name="Bild 13" descr="Press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se-Info"/>
                  <pic:cNvPicPr>
                    <a:picLocks noChangeAspect="1" noChangeArrowheads="1"/>
                  </pic:cNvPicPr>
                </pic:nvPicPr>
                <pic:blipFill rotWithShape="1">
                  <a:blip r:embed="rId1">
                    <a:extLst>
                      <a:ext uri="{28A0092B-C50C-407E-A947-70E740481C1C}">
                        <a14:useLocalDpi xmlns:a14="http://schemas.microsoft.com/office/drawing/2010/main" val="0"/>
                      </a:ext>
                    </a:extLst>
                  </a:blip>
                  <a:srcRect b="81619"/>
                  <a:stretch/>
                </pic:blipFill>
                <pic:spPr bwMode="auto">
                  <a:xfrm>
                    <a:off x="0" y="0"/>
                    <a:ext cx="7581900"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95ABC"/>
    <w:multiLevelType w:val="hybridMultilevel"/>
    <w:tmpl w:val="5A32B7CE"/>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D7E2C"/>
    <w:multiLevelType w:val="hybridMultilevel"/>
    <w:tmpl w:val="2174B45E"/>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97"/>
    <w:rsid w:val="00054076"/>
    <w:rsid w:val="0007149B"/>
    <w:rsid w:val="0009102C"/>
    <w:rsid w:val="000D4B9C"/>
    <w:rsid w:val="00114227"/>
    <w:rsid w:val="0016197B"/>
    <w:rsid w:val="001825A2"/>
    <w:rsid w:val="001A10C2"/>
    <w:rsid w:val="001B6762"/>
    <w:rsid w:val="001D7533"/>
    <w:rsid w:val="001F41FF"/>
    <w:rsid w:val="00272D13"/>
    <w:rsid w:val="00277A3B"/>
    <w:rsid w:val="002943C1"/>
    <w:rsid w:val="00314A84"/>
    <w:rsid w:val="00384BD3"/>
    <w:rsid w:val="003932BC"/>
    <w:rsid w:val="003A1675"/>
    <w:rsid w:val="003C41AF"/>
    <w:rsid w:val="003E3A71"/>
    <w:rsid w:val="00405261"/>
    <w:rsid w:val="00423343"/>
    <w:rsid w:val="004354F4"/>
    <w:rsid w:val="00472BB4"/>
    <w:rsid w:val="004E04D6"/>
    <w:rsid w:val="004F76EE"/>
    <w:rsid w:val="00525AC1"/>
    <w:rsid w:val="00563847"/>
    <w:rsid w:val="00587B6B"/>
    <w:rsid w:val="00594916"/>
    <w:rsid w:val="005E5D59"/>
    <w:rsid w:val="00603C18"/>
    <w:rsid w:val="00607FD3"/>
    <w:rsid w:val="006803FF"/>
    <w:rsid w:val="006C180D"/>
    <w:rsid w:val="006C6114"/>
    <w:rsid w:val="0071716D"/>
    <w:rsid w:val="007474DA"/>
    <w:rsid w:val="00754B99"/>
    <w:rsid w:val="00771BD5"/>
    <w:rsid w:val="00787795"/>
    <w:rsid w:val="007A35F1"/>
    <w:rsid w:val="007B6AA1"/>
    <w:rsid w:val="007C496F"/>
    <w:rsid w:val="007F2EBA"/>
    <w:rsid w:val="00815B37"/>
    <w:rsid w:val="00826CEA"/>
    <w:rsid w:val="00843C04"/>
    <w:rsid w:val="00856D2C"/>
    <w:rsid w:val="00861466"/>
    <w:rsid w:val="00881815"/>
    <w:rsid w:val="00884CBA"/>
    <w:rsid w:val="008A0659"/>
    <w:rsid w:val="009216AE"/>
    <w:rsid w:val="009A47F0"/>
    <w:rsid w:val="00A040E4"/>
    <w:rsid w:val="00A10B11"/>
    <w:rsid w:val="00A25D15"/>
    <w:rsid w:val="00A47F5D"/>
    <w:rsid w:val="00A62A4C"/>
    <w:rsid w:val="00AA5A54"/>
    <w:rsid w:val="00AE27F3"/>
    <w:rsid w:val="00AE3BCB"/>
    <w:rsid w:val="00B96E8F"/>
    <w:rsid w:val="00BF7408"/>
    <w:rsid w:val="00C31A1A"/>
    <w:rsid w:val="00CE6E1F"/>
    <w:rsid w:val="00CF20D9"/>
    <w:rsid w:val="00CF23A3"/>
    <w:rsid w:val="00D171C9"/>
    <w:rsid w:val="00D55FC3"/>
    <w:rsid w:val="00D63873"/>
    <w:rsid w:val="00D71B3E"/>
    <w:rsid w:val="00D80504"/>
    <w:rsid w:val="00D808A1"/>
    <w:rsid w:val="00D860EF"/>
    <w:rsid w:val="00DF1006"/>
    <w:rsid w:val="00E04FD9"/>
    <w:rsid w:val="00E36BFA"/>
    <w:rsid w:val="00EB2F09"/>
    <w:rsid w:val="00ED0A11"/>
    <w:rsid w:val="00F3533E"/>
    <w:rsid w:val="00F71441"/>
    <w:rsid w:val="00F77C49"/>
    <w:rsid w:val="00F8701A"/>
    <w:rsid w:val="00FA279B"/>
    <w:rsid w:val="00FC7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F5DB71"/>
  <w15:docId w15:val="{3B5BE7AB-3CDA-4E3D-BDEB-072C043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239"/>
        <w:tab w:val="left" w:pos="3686"/>
        <w:tab w:val="right" w:pos="8845"/>
      </w:tabs>
      <w:spacing w:line="360" w:lineRule="exact"/>
    </w:pPr>
    <w:rPr>
      <w:rFonts w:ascii="Univers" w:hAnsi="Univers"/>
      <w:sz w:val="22"/>
      <w:szCs w:val="24"/>
    </w:rPr>
  </w:style>
  <w:style w:type="paragraph" w:styleId="berschrift1">
    <w:name w:val="heading 1"/>
    <w:basedOn w:val="Standard"/>
    <w:next w:val="Grundtext"/>
    <w:qFormat/>
    <w:pPr>
      <w:keepNext/>
      <w:spacing w:after="360"/>
      <w:outlineLvl w:val="0"/>
    </w:pPr>
    <w:rPr>
      <w:rFonts w:cs="Arial"/>
      <w:b/>
      <w:bCs/>
      <w:kern w:val="32"/>
      <w:sz w:val="26"/>
      <w:szCs w:val="32"/>
    </w:rPr>
  </w:style>
  <w:style w:type="paragraph" w:styleId="berschrift2">
    <w:name w:val="heading 2"/>
    <w:basedOn w:val="Standard"/>
    <w:next w:val="Standard"/>
    <w:qFormat/>
    <w:pPr>
      <w:keepNext/>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link w:val="GrundtextZchn"/>
    <w:pPr>
      <w:tabs>
        <w:tab w:val="clear" w:pos="1239"/>
        <w:tab w:val="clear" w:pos="3686"/>
        <w:tab w:val="clear" w:pos="8845"/>
      </w:tabs>
      <w:spacing w:after="280"/>
    </w:pPr>
  </w:style>
  <w:style w:type="paragraph" w:styleId="Datum">
    <w:name w:val="Date"/>
    <w:basedOn w:val="Standard"/>
    <w:next w:val="Betreff"/>
    <w:pPr>
      <w:spacing w:after="280"/>
    </w:pPr>
  </w:style>
  <w:style w:type="paragraph" w:customStyle="1" w:styleId="Betreff">
    <w:name w:val="Betreff"/>
    <w:basedOn w:val="Standard"/>
    <w:pPr>
      <w:spacing w:after="280"/>
    </w:pPr>
    <w:rPr>
      <w:b/>
    </w:rPr>
  </w:style>
  <w:style w:type="paragraph" w:customStyle="1" w:styleId="Adressen">
    <w:name w:val="Adressen"/>
    <w:basedOn w:val="Standard"/>
  </w:style>
  <w:style w:type="paragraph" w:customStyle="1" w:styleId="AufzhlungMitPunkt">
    <w:name w:val="AufzählungMitPunkt"/>
    <w:basedOn w:val="Grundtext"/>
    <w:pPr>
      <w:numPr>
        <w:numId w:val="2"/>
      </w:numPr>
      <w:tabs>
        <w:tab w:val="num" w:pos="357"/>
      </w:tabs>
      <w:spacing w:after="0" w:line="264" w:lineRule="auto"/>
      <w:ind w:left="357" w:hanging="357"/>
    </w:pPr>
  </w:style>
  <w:style w:type="paragraph" w:customStyle="1" w:styleId="EingercktOhnePunkt">
    <w:name w:val="EingerücktOhnePunkt"/>
    <w:basedOn w:val="Grundtext"/>
    <w:pPr>
      <w:spacing w:after="0" w:line="264" w:lineRule="auto"/>
      <w:ind w:left="714"/>
    </w:pPr>
  </w:style>
  <w:style w:type="table" w:styleId="Tabellenraster">
    <w:name w:val="Table Grid"/>
    <w:basedOn w:val="NormaleTabelle"/>
    <w:rsid w:val="004354F4"/>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4354F4"/>
    <w:rPr>
      <w:rFonts w:ascii="Univers" w:hAnsi="Univers"/>
      <w:sz w:val="22"/>
      <w:szCs w:val="24"/>
      <w:lang w:val="de-DE" w:eastAsia="de-DE" w:bidi="ar-SA"/>
    </w:rPr>
  </w:style>
  <w:style w:type="paragraph" w:styleId="StandardWeb">
    <w:name w:val="Normal (Web)"/>
    <w:basedOn w:val="Standard"/>
    <w:rsid w:val="0016197B"/>
    <w:pPr>
      <w:tabs>
        <w:tab w:val="clear" w:pos="1239"/>
        <w:tab w:val="clear" w:pos="3686"/>
        <w:tab w:val="clear" w:pos="8845"/>
      </w:tabs>
      <w:spacing w:before="100" w:beforeAutospacing="1" w:after="100" w:afterAutospacing="1" w:line="240" w:lineRule="auto"/>
    </w:pPr>
    <w:rPr>
      <w:rFonts w:ascii="Arial Unicode MS" w:eastAsia="Arial Unicode MS" w:hAnsi="Arial Unicode MS" w:cs="Arial Unicode MS"/>
      <w:sz w:val="24"/>
    </w:rPr>
  </w:style>
  <w:style w:type="character" w:styleId="Hyperlink">
    <w:name w:val="Hyperlink"/>
    <w:basedOn w:val="Absatz-Standardschriftart"/>
    <w:rsid w:val="00D860EF"/>
    <w:rPr>
      <w:color w:val="0000FF"/>
      <w:u w:val="single"/>
    </w:rPr>
  </w:style>
  <w:style w:type="paragraph" w:styleId="Kopfzeile">
    <w:name w:val="header"/>
    <w:basedOn w:val="Standard"/>
    <w:link w:val="KopfzeileZchn"/>
    <w:rsid w:val="00D171C9"/>
    <w:pPr>
      <w:tabs>
        <w:tab w:val="clear" w:pos="1239"/>
        <w:tab w:val="clear" w:pos="3686"/>
        <w:tab w:val="clear" w:pos="8845"/>
        <w:tab w:val="center" w:pos="4536"/>
        <w:tab w:val="right" w:pos="9072"/>
      </w:tabs>
      <w:spacing w:line="240" w:lineRule="auto"/>
    </w:pPr>
  </w:style>
  <w:style w:type="character" w:customStyle="1" w:styleId="KopfzeileZchn">
    <w:name w:val="Kopfzeile Zchn"/>
    <w:basedOn w:val="Absatz-Standardschriftart"/>
    <w:link w:val="Kopfzeile"/>
    <w:rsid w:val="00D171C9"/>
    <w:rPr>
      <w:rFonts w:ascii="Univers" w:hAnsi="Univers"/>
      <w:sz w:val="22"/>
      <w:szCs w:val="24"/>
    </w:rPr>
  </w:style>
  <w:style w:type="paragraph" w:styleId="Fuzeile">
    <w:name w:val="footer"/>
    <w:basedOn w:val="Standard"/>
    <w:link w:val="FuzeileZchn"/>
    <w:rsid w:val="00D171C9"/>
    <w:pPr>
      <w:tabs>
        <w:tab w:val="clear" w:pos="1239"/>
        <w:tab w:val="clear" w:pos="3686"/>
        <w:tab w:val="clear" w:pos="8845"/>
        <w:tab w:val="center" w:pos="4536"/>
        <w:tab w:val="right" w:pos="9072"/>
      </w:tabs>
      <w:spacing w:line="240" w:lineRule="auto"/>
    </w:pPr>
  </w:style>
  <w:style w:type="character" w:customStyle="1" w:styleId="FuzeileZchn">
    <w:name w:val="Fußzeile Zchn"/>
    <w:basedOn w:val="Absatz-Standardschriftart"/>
    <w:link w:val="Fuzeile"/>
    <w:rsid w:val="00D171C9"/>
    <w:rPr>
      <w:rFonts w:ascii="Univers" w:hAnsi="Univers"/>
      <w:sz w:val="22"/>
      <w:szCs w:val="24"/>
    </w:rPr>
  </w:style>
  <w:style w:type="character" w:styleId="NichtaufgelsteErwhnung">
    <w:name w:val="Unresolved Mention"/>
    <w:basedOn w:val="Absatz-Standardschriftart"/>
    <w:uiPriority w:val="99"/>
    <w:semiHidden/>
    <w:unhideWhenUsed/>
    <w:rsid w:val="0060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moll@bfac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l.bfach.de/bankenfachverband.php/cat/36/title/Verzeichni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ubuncic\AppData\Roaming\Microsoft\Templates\BFACH-PI_23-MM-TT_Titel_Entwurf%20Mo_mod.dotx" TargetMode="External"/></Relationships>
</file>

<file path=word/theme/theme1.xml><?xml version="1.0" encoding="utf-8"?>
<a:theme xmlns:a="http://schemas.openxmlformats.org/drawingml/2006/main" name="Larissa">
  <a:themeElements>
    <a:clrScheme name="BFACH">
      <a:dk1>
        <a:srgbClr val="000000"/>
      </a:dk1>
      <a:lt1>
        <a:srgbClr val="FFFFFF"/>
      </a:lt1>
      <a:dk2>
        <a:srgbClr val="FFFFFF"/>
      </a:dk2>
      <a:lt2>
        <a:srgbClr val="000000"/>
      </a:lt2>
      <a:accent1>
        <a:srgbClr val="000000"/>
      </a:accent1>
      <a:accent2>
        <a:srgbClr val="004E9E"/>
      </a:accent2>
      <a:accent3>
        <a:srgbClr val="AB0059"/>
      </a:accent3>
      <a:accent4>
        <a:srgbClr val="808080"/>
      </a:accent4>
      <a:accent5>
        <a:srgbClr val="FF0000"/>
      </a:accent5>
      <a:accent6>
        <a:srgbClr val="0000FF"/>
      </a:accent6>
      <a:hlink>
        <a:srgbClr val="004E9E"/>
      </a:hlink>
      <a:folHlink>
        <a:srgbClr val="AB0059"/>
      </a:folHlink>
    </a:clrScheme>
    <a:fontScheme name="BFACH">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BFACH-PI_23-MM-TT_Titel_Entwurf Mo_mod.dotx</Template>
  <TotalTime>0</TotalTime>
  <Pages>2</Pages>
  <Words>353</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2876</CharactersWithSpaces>
  <SharedDoc>false</SharedDoc>
  <HLinks>
    <vt:vector size="6" baseType="variant">
      <vt:variant>
        <vt:i4>8192013</vt:i4>
      </vt:variant>
      <vt:variant>
        <vt:i4>0</vt:i4>
      </vt:variant>
      <vt:variant>
        <vt:i4>0</vt:i4>
      </vt:variant>
      <vt:variant>
        <vt:i4>5</vt:i4>
      </vt:variant>
      <vt:variant>
        <vt:lpwstr>mailto:stephan.moll@bfach.de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Technik</dc:creator>
  <cp:lastModifiedBy>Nermana Ljubuncic</cp:lastModifiedBy>
  <cp:revision>10</cp:revision>
  <cp:lastPrinted>2006-06-06T20:58:00Z</cp:lastPrinted>
  <dcterms:created xsi:type="dcterms:W3CDTF">2023-08-23T14:25:00Z</dcterms:created>
  <dcterms:modified xsi:type="dcterms:W3CDTF">2023-09-13T12:22:00Z</dcterms:modified>
</cp:coreProperties>
</file>