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533" w:rsidRPr="00F8701A" w:rsidRDefault="007C05A4" w:rsidP="00AE3BCB">
      <w:pPr>
        <w:pStyle w:val="berschrift1"/>
        <w:keepNext w:val="0"/>
        <w:rPr>
          <w:lang w:val="en-US"/>
        </w:rPr>
      </w:pPr>
      <w:r>
        <w:rPr>
          <w:lang w:val="en-US"/>
        </w:rPr>
        <w:t>Konsumkredit-Index (</w:t>
      </w:r>
      <w:r w:rsidR="00125984">
        <w:rPr>
          <w:lang w:val="en-US"/>
        </w:rPr>
        <w:t>Prognose für 2021/2022</w:t>
      </w:r>
      <w:r>
        <w:rPr>
          <w:lang w:val="en-US"/>
        </w:rPr>
        <w:t>):</w:t>
      </w:r>
      <w:r w:rsidR="00125984" w:rsidRPr="00125984">
        <w:rPr>
          <w:lang w:val="en-US"/>
        </w:rPr>
        <w:t xml:space="preserve"> </w:t>
      </w:r>
      <w:r w:rsidR="00125984">
        <w:rPr>
          <w:lang w:val="en-US"/>
        </w:rPr>
        <w:t>Private Kreditnachfrage bleibt weiter auf stabilem Niveau</w:t>
      </w:r>
    </w:p>
    <w:p w:rsidR="001D7533" w:rsidRPr="0018326E" w:rsidRDefault="00125984">
      <w:pPr>
        <w:pStyle w:val="Grundtext"/>
        <w:spacing w:after="360"/>
      </w:pPr>
      <w:r w:rsidRPr="00104E18">
        <w:t>Berlin</w:t>
      </w:r>
      <w:r w:rsidR="001D7533" w:rsidRPr="00104E18">
        <w:t xml:space="preserve">, </w:t>
      </w:r>
      <w:r w:rsidR="00104E18" w:rsidRPr="00104E18">
        <w:t>1. September</w:t>
      </w:r>
      <w:r w:rsidR="001D7533" w:rsidRPr="00104E18">
        <w:t xml:space="preserve"> </w:t>
      </w:r>
      <w:r w:rsidRPr="00104E18">
        <w:t>2021</w:t>
      </w:r>
      <w:r w:rsidR="001D7533" w:rsidRPr="00104E18">
        <w:t xml:space="preserve">. </w:t>
      </w:r>
      <w:r w:rsidR="0018326E" w:rsidRPr="00104E18">
        <w:t>Die</w:t>
      </w:r>
      <w:r w:rsidR="0018326E" w:rsidRPr="0018326E">
        <w:t xml:space="preserve"> Nutzung von Krediten für private Konsumanschaffungen bleibt in den kommenden zwöl</w:t>
      </w:r>
      <w:r w:rsidR="0018326E">
        <w:t>f</w:t>
      </w:r>
      <w:r w:rsidR="0018326E" w:rsidRPr="0018326E">
        <w:t xml:space="preserve"> Monaten konstant. </w:t>
      </w:r>
      <w:r w:rsidR="00902F43" w:rsidRPr="0018326E">
        <w:t>Dies prognostiziert der Konsumkredit-Index des Bankenfachverbandes, für den der Marktfo</w:t>
      </w:r>
      <w:r w:rsidR="00E87A34">
        <w:t>r</w:t>
      </w:r>
      <w:r w:rsidR="00902F43" w:rsidRPr="0018326E">
        <w:t>scher Ipsos halbjährlich rund 2.000 Verbraucherhausalte nach ihren Konsum- und Finanzierungsabsichten befragt.</w:t>
      </w:r>
      <w:r w:rsidR="0018326E" w:rsidRPr="0018326E">
        <w:t xml:space="preserve"> Mit einem </w:t>
      </w:r>
      <w:r w:rsidR="0018326E">
        <w:t xml:space="preserve">Wert von 99 Punkten </w:t>
      </w:r>
      <w:r w:rsidR="00E87A34">
        <w:t xml:space="preserve">zeigt der </w:t>
      </w:r>
      <w:r w:rsidR="00A16B2E">
        <w:t xml:space="preserve">im Juli 2021 erhobene </w:t>
      </w:r>
      <w:r w:rsidR="00E87A34">
        <w:t xml:space="preserve">Index eine stabile Entwicklung </w:t>
      </w:r>
      <w:r w:rsidR="00DF0621">
        <w:t>für Privatkredite</w:t>
      </w:r>
      <w:r w:rsidR="007C0E51">
        <w:t xml:space="preserve"> </w:t>
      </w:r>
      <w:r w:rsidR="00E87A34">
        <w:t>an.</w:t>
      </w:r>
    </w:p>
    <w:p w:rsidR="00902F43" w:rsidRDefault="00902F43" w:rsidP="00902F43">
      <w:pPr>
        <w:pStyle w:val="Grundtext"/>
        <w:spacing w:after="360"/>
      </w:pPr>
      <w:r w:rsidRPr="0018326E">
        <w:t>„</w:t>
      </w:r>
      <w:r w:rsidR="000904A9" w:rsidRPr="0018326E">
        <w:t>Konsumfinanzierungen sind</w:t>
      </w:r>
      <w:r>
        <w:t xml:space="preserve"> auch in der Corona-Zeit </w:t>
      </w:r>
      <w:r w:rsidR="000904A9">
        <w:t>gefragt</w:t>
      </w:r>
      <w:r>
        <w:t>“, sagt Jens Loa, Geschäftsführer des Bankenfachverbandes.</w:t>
      </w:r>
      <w:r w:rsidRPr="00902F43">
        <w:t xml:space="preserve"> </w:t>
      </w:r>
      <w:r>
        <w:t xml:space="preserve">Der </w:t>
      </w:r>
      <w:r w:rsidR="00E40B32">
        <w:t>Konsumkredit-</w:t>
      </w:r>
      <w:r>
        <w:t xml:space="preserve">Index </w:t>
      </w:r>
      <w:r w:rsidR="00E40B32">
        <w:t>weist</w:t>
      </w:r>
      <w:r w:rsidR="00116CCA" w:rsidRPr="0018326E">
        <w:t xml:space="preserve"> </w:t>
      </w:r>
      <w:r>
        <w:t xml:space="preserve">mit seinem aktuellen Wert das dritte Mal in Folge eine stabile Kreditnachfrage </w:t>
      </w:r>
      <w:r w:rsidR="00E40B32">
        <w:t>aus</w:t>
      </w:r>
      <w:r>
        <w:t xml:space="preserve">. Auch </w:t>
      </w:r>
      <w:r w:rsidR="000904A9">
        <w:t>die</w:t>
      </w:r>
      <w:r>
        <w:t xml:space="preserve"> Voruntersuchungen aus Februar 2021 und Juli 2020</w:t>
      </w:r>
      <w:r w:rsidR="000904A9">
        <w:t xml:space="preserve"> </w:t>
      </w:r>
      <w:r w:rsidR="00B137FF">
        <w:t>deuteten</w:t>
      </w:r>
      <w:r w:rsidR="000904A9">
        <w:t xml:space="preserve"> </w:t>
      </w:r>
      <w:r w:rsidR="00E40B32">
        <w:t xml:space="preserve">mit </w:t>
      </w:r>
      <w:r w:rsidR="00A21A3E">
        <w:t xml:space="preserve">Index-Werten von </w:t>
      </w:r>
      <w:r w:rsidR="00E40B32">
        <w:t xml:space="preserve">100 bzw. 98 Punkten </w:t>
      </w:r>
      <w:r w:rsidR="00B137FF">
        <w:t xml:space="preserve">auf </w:t>
      </w:r>
      <w:r w:rsidR="000904A9">
        <w:t>eine konstante Kreditnutzung</w:t>
      </w:r>
      <w:r w:rsidR="00B137FF">
        <w:t xml:space="preserve"> hin</w:t>
      </w:r>
      <w:r>
        <w:t>.</w:t>
      </w:r>
      <w:r w:rsidR="00DD17F0">
        <w:t xml:space="preserve"> </w:t>
      </w:r>
      <w:r w:rsidR="00AE6B36">
        <w:t>Diese Entwicklung hat sich auch</w:t>
      </w:r>
      <w:r w:rsidR="00DD17F0">
        <w:t xml:space="preserve"> </w:t>
      </w:r>
      <w:r w:rsidR="00AE6B36">
        <w:t xml:space="preserve">im </w:t>
      </w:r>
      <w:r w:rsidR="00DD17F0">
        <w:t xml:space="preserve">Gesamtmarkt </w:t>
      </w:r>
      <w:r w:rsidR="00AE6B36">
        <w:t>gezeigt</w:t>
      </w:r>
      <w:r w:rsidR="00DD17F0">
        <w:t xml:space="preserve">. Der Bestand an Ratenkrediten </w:t>
      </w:r>
      <w:r w:rsidR="000C17F8">
        <w:t xml:space="preserve">lag Mitte 2021 </w:t>
      </w:r>
      <w:r w:rsidR="00F145D0">
        <w:t>bundesweit bei 1</w:t>
      </w:r>
      <w:r w:rsidR="00983057">
        <w:t>74,7 Mrd. Euro und damit nur rund ein Prozent unter dem</w:t>
      </w:r>
      <w:r w:rsidR="000C17F8">
        <w:t xml:space="preserve"> Vorjahreswert.</w:t>
      </w:r>
    </w:p>
    <w:p w:rsidR="00902F43" w:rsidRPr="003C5A70" w:rsidRDefault="00A16B2E" w:rsidP="00DD17F0">
      <w:pPr>
        <w:pStyle w:val="berschrift2"/>
        <w:keepNext w:val="0"/>
        <w:spacing w:after="360"/>
      </w:pPr>
      <w:r>
        <w:t>Finanzierungsinteresse höher als Anschaffungsplanung</w:t>
      </w:r>
      <w:r w:rsidR="00DD17F0">
        <w:br/>
      </w:r>
      <w:r w:rsidR="00E87A34" w:rsidRPr="00DD17F0">
        <w:rPr>
          <w:rFonts w:cs="Times New Roman"/>
          <w:b w:val="0"/>
          <w:bCs w:val="0"/>
          <w:iCs w:val="0"/>
          <w:szCs w:val="24"/>
        </w:rPr>
        <w:t xml:space="preserve">Die Kreditaufnahme für Autos, Möbel und Küchen sowie Unterhaltungselektronik bleibt dem aktuellen </w:t>
      </w:r>
      <w:r w:rsidR="00983057">
        <w:rPr>
          <w:rFonts w:cs="Times New Roman"/>
          <w:b w:val="0"/>
          <w:bCs w:val="0"/>
          <w:iCs w:val="0"/>
          <w:szCs w:val="24"/>
        </w:rPr>
        <w:t>Ko</w:t>
      </w:r>
      <w:r w:rsidR="007321DB">
        <w:rPr>
          <w:rFonts w:cs="Times New Roman"/>
          <w:b w:val="0"/>
          <w:bCs w:val="0"/>
          <w:iCs w:val="0"/>
          <w:szCs w:val="24"/>
        </w:rPr>
        <w:t>ns</w:t>
      </w:r>
      <w:r w:rsidR="00983057">
        <w:rPr>
          <w:rFonts w:cs="Times New Roman"/>
          <w:b w:val="0"/>
          <w:bCs w:val="0"/>
          <w:iCs w:val="0"/>
          <w:szCs w:val="24"/>
        </w:rPr>
        <w:t>umkredit-</w:t>
      </w:r>
      <w:r w:rsidR="00E87A34" w:rsidRPr="00DD17F0">
        <w:rPr>
          <w:rFonts w:cs="Times New Roman"/>
          <w:b w:val="0"/>
          <w:bCs w:val="0"/>
          <w:iCs w:val="0"/>
          <w:szCs w:val="24"/>
        </w:rPr>
        <w:t xml:space="preserve">Index gemäß </w:t>
      </w:r>
      <w:r w:rsidR="003C5A70" w:rsidRPr="00DD17F0">
        <w:rPr>
          <w:rFonts w:cs="Times New Roman"/>
          <w:b w:val="0"/>
          <w:bCs w:val="0"/>
          <w:iCs w:val="0"/>
          <w:szCs w:val="24"/>
        </w:rPr>
        <w:t xml:space="preserve">künftig </w:t>
      </w:r>
      <w:r w:rsidR="00E87A34" w:rsidRPr="00DD17F0">
        <w:rPr>
          <w:rFonts w:cs="Times New Roman"/>
          <w:b w:val="0"/>
          <w:bCs w:val="0"/>
          <w:iCs w:val="0"/>
          <w:szCs w:val="24"/>
        </w:rPr>
        <w:t xml:space="preserve">stabil. Dafür ist mit etwas weniger Finanzierungen von Haushaltsgroßgeräten, aber mehr Krediten für sonstige Konsumanschaffungen, zu denen auch Renovierungen zählen, zu rechnen. </w:t>
      </w:r>
      <w:r w:rsidR="003C5A70" w:rsidRPr="00DD17F0">
        <w:rPr>
          <w:rFonts w:cs="Times New Roman"/>
          <w:b w:val="0"/>
          <w:bCs w:val="0"/>
          <w:iCs w:val="0"/>
          <w:szCs w:val="24"/>
        </w:rPr>
        <w:t>D</w:t>
      </w:r>
      <w:r w:rsidR="00036C59" w:rsidRPr="00DD17F0">
        <w:rPr>
          <w:rFonts w:cs="Times New Roman"/>
          <w:b w:val="0"/>
          <w:bCs w:val="0"/>
          <w:iCs w:val="0"/>
          <w:szCs w:val="24"/>
        </w:rPr>
        <w:t>as</w:t>
      </w:r>
      <w:r w:rsidR="003C5A70" w:rsidRPr="00DD17F0">
        <w:rPr>
          <w:rFonts w:cs="Times New Roman"/>
          <w:b w:val="0"/>
          <w:bCs w:val="0"/>
          <w:iCs w:val="0"/>
          <w:szCs w:val="24"/>
        </w:rPr>
        <w:t xml:space="preserve"> Finanzierungs</w:t>
      </w:r>
      <w:r w:rsidR="00036C59" w:rsidRPr="00DD17F0">
        <w:rPr>
          <w:rFonts w:cs="Times New Roman"/>
          <w:b w:val="0"/>
          <w:bCs w:val="0"/>
          <w:iCs w:val="0"/>
          <w:szCs w:val="24"/>
        </w:rPr>
        <w:t xml:space="preserve">interesse </w:t>
      </w:r>
      <w:r w:rsidR="003C5A70" w:rsidRPr="00DD17F0">
        <w:rPr>
          <w:rFonts w:cs="Times New Roman"/>
          <w:b w:val="0"/>
          <w:bCs w:val="0"/>
          <w:iCs w:val="0"/>
          <w:szCs w:val="24"/>
        </w:rPr>
        <w:t xml:space="preserve">der Verbraucher ist </w:t>
      </w:r>
      <w:r w:rsidR="00DF0621">
        <w:rPr>
          <w:rFonts w:cs="Times New Roman"/>
          <w:b w:val="0"/>
          <w:bCs w:val="0"/>
          <w:iCs w:val="0"/>
          <w:szCs w:val="24"/>
        </w:rPr>
        <w:t xml:space="preserve">dabei </w:t>
      </w:r>
      <w:r w:rsidR="003C5A70" w:rsidRPr="00DD17F0">
        <w:rPr>
          <w:rFonts w:cs="Times New Roman"/>
          <w:b w:val="0"/>
          <w:bCs w:val="0"/>
          <w:iCs w:val="0"/>
          <w:szCs w:val="24"/>
        </w:rPr>
        <w:t xml:space="preserve">tendenziell höher als </w:t>
      </w:r>
      <w:r w:rsidR="00036C59" w:rsidRPr="00DD17F0">
        <w:rPr>
          <w:rFonts w:cs="Times New Roman"/>
          <w:b w:val="0"/>
          <w:bCs w:val="0"/>
          <w:iCs w:val="0"/>
          <w:szCs w:val="24"/>
        </w:rPr>
        <w:t>i</w:t>
      </w:r>
      <w:r w:rsidR="003C5A70" w:rsidRPr="00DD17F0">
        <w:rPr>
          <w:rFonts w:cs="Times New Roman"/>
          <w:b w:val="0"/>
          <w:bCs w:val="0"/>
          <w:iCs w:val="0"/>
          <w:szCs w:val="24"/>
        </w:rPr>
        <w:t xml:space="preserve">hre konkrete Anschaffungsplanung. „Finanzierungsoptionen sind ein wichtiges Mittel, um den Absatz zu fördern und die Konjunktur anzukurbeln“, </w:t>
      </w:r>
      <w:r w:rsidRPr="00DD17F0">
        <w:rPr>
          <w:rFonts w:cs="Times New Roman"/>
          <w:b w:val="0"/>
          <w:bCs w:val="0"/>
          <w:iCs w:val="0"/>
          <w:szCs w:val="24"/>
        </w:rPr>
        <w:t>so</w:t>
      </w:r>
      <w:r w:rsidR="003C5A70" w:rsidRPr="00DD17F0">
        <w:rPr>
          <w:rFonts w:cs="Times New Roman"/>
          <w:b w:val="0"/>
          <w:bCs w:val="0"/>
          <w:iCs w:val="0"/>
          <w:szCs w:val="24"/>
        </w:rPr>
        <w:t xml:space="preserve"> Loa.</w:t>
      </w:r>
    </w:p>
    <w:p w:rsidR="00104E18" w:rsidRDefault="00A51E76" w:rsidP="00A51E76">
      <w:pPr>
        <w:tabs>
          <w:tab w:val="clear" w:pos="1239"/>
          <w:tab w:val="clear" w:pos="3686"/>
          <w:tab w:val="clear" w:pos="8845"/>
        </w:tabs>
        <w:spacing w:after="360" w:line="240" w:lineRule="exact"/>
        <w:rPr>
          <w:sz w:val="18"/>
          <w:szCs w:val="18"/>
        </w:rPr>
      </w:pPr>
      <w:r w:rsidRPr="00A51E76">
        <w:rPr>
          <w:b/>
          <w:sz w:val="18"/>
          <w:szCs w:val="18"/>
        </w:rPr>
        <w:t>Der Bankenfachverband</w:t>
      </w:r>
      <w:r w:rsidRPr="00A51E76">
        <w:rPr>
          <w:sz w:val="18"/>
          <w:szCs w:val="18"/>
        </w:rPr>
        <w:t xml:space="preserve"> (BFACH) vertritt die Interessen der Kreditbanken in Deutschland. Seine Mitglieder sind die Experten für die Finanzierung von Konsum- und Investitionsgütern wie Kraftfahrzeugen aller Art.</w:t>
      </w:r>
      <w:r w:rsidR="002B2EA6">
        <w:rPr>
          <w:sz w:val="18"/>
          <w:szCs w:val="18"/>
        </w:rPr>
        <w:br/>
      </w:r>
      <w:bookmarkStart w:id="0" w:name="_GoBack"/>
      <w:bookmarkEnd w:id="0"/>
      <w:r w:rsidRPr="00A51E76">
        <w:rPr>
          <w:b/>
          <w:sz w:val="18"/>
          <w:szCs w:val="18"/>
        </w:rPr>
        <w:t>Der Konsumkredit-Index</w:t>
      </w:r>
      <w:r w:rsidRPr="00A51E76">
        <w:rPr>
          <w:sz w:val="18"/>
          <w:szCs w:val="18"/>
        </w:rPr>
        <w:t xml:space="preserve"> </w:t>
      </w:r>
      <w:r w:rsidR="0018326E">
        <w:rPr>
          <w:sz w:val="18"/>
          <w:szCs w:val="18"/>
        </w:rPr>
        <w:t xml:space="preserve">(KKI) </w:t>
      </w:r>
      <w:r w:rsidRPr="00A51E76">
        <w:rPr>
          <w:sz w:val="18"/>
          <w:szCs w:val="18"/>
        </w:rPr>
        <w:t>prognostiziert die private Kreditaufnahme in den kommenden zwölf Monaten. Dazu befragt Ipsos halbjährlich rund 2.000 Haushalte über das Finanzmarktpanel der GfK. Ein Indexwert von 100 zeigt eine Entwicklung auf Vorjahresniveau, ab 125 steigt die Kreditnutzung signifikant.</w:t>
      </w:r>
    </w:p>
    <w:p w:rsidR="00104E18" w:rsidRDefault="00A51E76" w:rsidP="00104E18">
      <w:pPr>
        <w:tabs>
          <w:tab w:val="clear" w:pos="1239"/>
          <w:tab w:val="clear" w:pos="3686"/>
          <w:tab w:val="clear" w:pos="8845"/>
        </w:tabs>
        <w:spacing w:after="360" w:line="240" w:lineRule="exact"/>
      </w:pPr>
      <w:r w:rsidRPr="00673E26">
        <w:rPr>
          <w:b/>
          <w:sz w:val="16"/>
          <w:szCs w:val="16"/>
        </w:rPr>
        <w:t xml:space="preserve">Anlagen: </w:t>
      </w:r>
      <w:hyperlink r:id="rId7" w:history="1">
        <w:r w:rsidRPr="00673E26">
          <w:rPr>
            <w:rStyle w:val="Hyperlink"/>
            <w:color w:val="004E9E" w:themeColor="accent2"/>
            <w:sz w:val="16"/>
            <w:szCs w:val="16"/>
            <w:u w:val="none"/>
          </w:rPr>
          <w:t>Infografik Konsumkredit-Index</w:t>
        </w:r>
      </w:hyperlink>
      <w:r w:rsidRPr="00673E26">
        <w:rPr>
          <w:sz w:val="16"/>
          <w:szCs w:val="16"/>
        </w:rPr>
        <w:t xml:space="preserve">, </w:t>
      </w:r>
      <w:hyperlink r:id="rId8" w:history="1">
        <w:r w:rsidRPr="00673E26">
          <w:rPr>
            <w:rStyle w:val="Hyperlink"/>
            <w:color w:val="004E9E" w:themeColor="accent2"/>
            <w:sz w:val="16"/>
            <w:szCs w:val="16"/>
            <w:u w:val="none"/>
          </w:rPr>
          <w:t>Studie KKI 2021</w:t>
        </w:r>
        <w:r w:rsidR="00BD70AC" w:rsidRPr="00673E26">
          <w:rPr>
            <w:rStyle w:val="Hyperlink"/>
            <w:color w:val="004E9E" w:themeColor="accent2"/>
            <w:sz w:val="16"/>
            <w:szCs w:val="16"/>
            <w:u w:val="none"/>
          </w:rPr>
          <w:t>/2022</w:t>
        </w:r>
      </w:hyperlink>
      <w:r w:rsidR="00104E18">
        <w:rPr>
          <w:sz w:val="16"/>
          <w:szCs w:val="16"/>
        </w:rPr>
        <w:br/>
      </w:r>
      <w:r w:rsidRPr="00A51E76">
        <w:rPr>
          <w:b/>
          <w:sz w:val="16"/>
          <w:szCs w:val="16"/>
        </w:rPr>
        <w:t>Textfassung</w:t>
      </w:r>
      <w:r w:rsidRPr="00A51E76">
        <w:rPr>
          <w:sz w:val="16"/>
          <w:szCs w:val="16"/>
        </w:rPr>
        <w:t xml:space="preserve">: www.bfach.de / </w:t>
      </w:r>
      <w:r w:rsidRPr="00104E18">
        <w:rPr>
          <w:sz w:val="16"/>
          <w:szCs w:val="16"/>
        </w:rPr>
        <w:t xml:space="preserve">Presse / </w:t>
      </w:r>
      <w:r w:rsidR="00104E18" w:rsidRPr="00104E18">
        <w:rPr>
          <w:sz w:val="16"/>
          <w:szCs w:val="16"/>
        </w:rPr>
        <w:t>01.09</w:t>
      </w:r>
      <w:r w:rsidRPr="00104E18">
        <w:rPr>
          <w:sz w:val="16"/>
          <w:szCs w:val="16"/>
        </w:rPr>
        <w:t>.21</w:t>
      </w:r>
      <w:r w:rsidRPr="00A51E76">
        <w:rPr>
          <w:sz w:val="16"/>
          <w:szCs w:val="16"/>
        </w:rPr>
        <w:br/>
      </w:r>
      <w:r w:rsidRPr="00A51E76">
        <w:rPr>
          <w:b/>
          <w:sz w:val="16"/>
          <w:szCs w:val="16"/>
        </w:rPr>
        <w:t xml:space="preserve">Kontakt: </w:t>
      </w:r>
      <w:r w:rsidRPr="00A51E76">
        <w:rPr>
          <w:sz w:val="16"/>
          <w:szCs w:val="16"/>
        </w:rPr>
        <w:t xml:space="preserve">Bankenfachverband, Stephan Moll, Leiter Markt und PR, Tel. 030 2462596-14, </w:t>
      </w:r>
      <w:hyperlink r:id="rId9" w:history="1">
        <w:r w:rsidRPr="00104E18">
          <w:rPr>
            <w:color w:val="004E9E" w:themeColor="accent2"/>
            <w:sz w:val="16"/>
            <w:szCs w:val="16"/>
          </w:rPr>
          <w:t>stephan.moll@bfach.de</w:t>
        </w:r>
      </w:hyperlink>
      <w:r w:rsidR="00104E18">
        <w:br w:type="page"/>
      </w:r>
    </w:p>
    <w:p w:rsidR="00A51E76" w:rsidRPr="00104E18" w:rsidRDefault="00A51E76" w:rsidP="00A51E76">
      <w:pPr>
        <w:tabs>
          <w:tab w:val="clear" w:pos="1239"/>
          <w:tab w:val="clear" w:pos="3686"/>
          <w:tab w:val="clear" w:pos="8845"/>
        </w:tabs>
        <w:spacing w:after="360" w:line="240" w:lineRule="exact"/>
        <w:rPr>
          <w:sz w:val="16"/>
          <w:szCs w:val="16"/>
        </w:rPr>
      </w:pPr>
    </w:p>
    <w:p w:rsidR="00933DBA" w:rsidRDefault="00933DBA" w:rsidP="00A51E76">
      <w:pPr>
        <w:tabs>
          <w:tab w:val="clear" w:pos="1239"/>
          <w:tab w:val="clear" w:pos="3686"/>
          <w:tab w:val="clear" w:pos="8845"/>
        </w:tabs>
        <w:spacing w:after="360" w:line="240" w:lineRule="exact"/>
        <w:rPr>
          <w:szCs w:val="22"/>
        </w:rPr>
      </w:pPr>
      <w:r>
        <w:rPr>
          <w:b/>
          <w:noProof/>
          <w:szCs w:val="22"/>
        </w:rPr>
        <w:drawing>
          <wp:anchor distT="0" distB="0" distL="114300" distR="114300" simplePos="0" relativeHeight="251657728" behindDoc="0" locked="0" layoutInCell="1" allowOverlap="1" wp14:anchorId="333FA9CC">
            <wp:simplePos x="0" y="0"/>
            <wp:positionH relativeFrom="column">
              <wp:posOffset>-175260</wp:posOffset>
            </wp:positionH>
            <wp:positionV relativeFrom="paragraph">
              <wp:posOffset>525780</wp:posOffset>
            </wp:positionV>
            <wp:extent cx="4858512" cy="4858512"/>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KI_2021_2022_BFACH_Infografi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58512" cy="4858512"/>
                    </a:xfrm>
                    <a:prstGeom prst="rect">
                      <a:avLst/>
                    </a:prstGeom>
                  </pic:spPr>
                </pic:pic>
              </a:graphicData>
            </a:graphic>
            <wp14:sizeRelH relativeFrom="page">
              <wp14:pctWidth>0</wp14:pctWidth>
            </wp14:sizeRelH>
            <wp14:sizeRelV relativeFrom="page">
              <wp14:pctHeight>0</wp14:pctHeight>
            </wp14:sizeRelV>
          </wp:anchor>
        </w:drawing>
      </w:r>
      <w:r w:rsidR="00A51E76" w:rsidRPr="00A51E76">
        <w:rPr>
          <w:b/>
          <w:szCs w:val="22"/>
        </w:rPr>
        <w:t>Konsumkredit-Index 2021</w:t>
      </w:r>
      <w:r w:rsidR="00BD70AC">
        <w:rPr>
          <w:b/>
          <w:szCs w:val="22"/>
        </w:rPr>
        <w:t>/2022</w:t>
      </w:r>
      <w:r w:rsidR="00A51E76" w:rsidRPr="00A51E76">
        <w:rPr>
          <w:b/>
          <w:szCs w:val="22"/>
        </w:rPr>
        <w:br/>
      </w:r>
      <w:r w:rsidR="00A51E76" w:rsidRPr="00A51E76">
        <w:rPr>
          <w:szCs w:val="22"/>
        </w:rPr>
        <w:t>Prognose der Konsumkreditnutzung in Deutschland</w:t>
      </w:r>
    </w:p>
    <w:p w:rsidR="00933DBA" w:rsidRPr="00A51E76" w:rsidRDefault="00933DBA" w:rsidP="00A51E76">
      <w:pPr>
        <w:tabs>
          <w:tab w:val="clear" w:pos="1239"/>
          <w:tab w:val="clear" w:pos="3686"/>
          <w:tab w:val="clear" w:pos="8845"/>
        </w:tabs>
        <w:spacing w:after="360" w:line="240" w:lineRule="exact"/>
        <w:rPr>
          <w:szCs w:val="22"/>
        </w:rPr>
      </w:pPr>
    </w:p>
    <w:p w:rsidR="00A51E76" w:rsidRPr="00A51E76" w:rsidRDefault="00A51E76" w:rsidP="00A51E76">
      <w:pPr>
        <w:tabs>
          <w:tab w:val="clear" w:pos="1239"/>
          <w:tab w:val="clear" w:pos="3686"/>
          <w:tab w:val="clear" w:pos="8845"/>
        </w:tabs>
        <w:spacing w:after="360" w:line="240" w:lineRule="exact"/>
        <w:rPr>
          <w:b/>
          <w:szCs w:val="22"/>
        </w:rPr>
      </w:pPr>
    </w:p>
    <w:p w:rsidR="00A51E76" w:rsidRPr="00A51E76" w:rsidRDefault="00A51E76" w:rsidP="00A51E76">
      <w:pPr>
        <w:tabs>
          <w:tab w:val="clear" w:pos="1239"/>
          <w:tab w:val="clear" w:pos="3686"/>
          <w:tab w:val="clear" w:pos="8845"/>
        </w:tabs>
        <w:spacing w:after="360" w:line="240" w:lineRule="exact"/>
        <w:rPr>
          <w:b/>
          <w:szCs w:val="22"/>
        </w:rPr>
      </w:pPr>
    </w:p>
    <w:p w:rsidR="00A51E76" w:rsidRPr="00A51E76" w:rsidRDefault="00A51E76" w:rsidP="00A51E76">
      <w:pPr>
        <w:tabs>
          <w:tab w:val="clear" w:pos="1239"/>
          <w:tab w:val="clear" w:pos="3686"/>
          <w:tab w:val="clear" w:pos="8845"/>
        </w:tabs>
        <w:spacing w:after="360" w:line="240" w:lineRule="exact"/>
        <w:rPr>
          <w:b/>
          <w:szCs w:val="22"/>
        </w:rPr>
      </w:pPr>
    </w:p>
    <w:p w:rsidR="00A51E76" w:rsidRPr="00A51E76" w:rsidRDefault="00A51E76" w:rsidP="00A51E76">
      <w:pPr>
        <w:tabs>
          <w:tab w:val="clear" w:pos="1239"/>
          <w:tab w:val="clear" w:pos="3686"/>
          <w:tab w:val="clear" w:pos="8845"/>
        </w:tabs>
        <w:spacing w:after="360" w:line="240" w:lineRule="exact"/>
        <w:rPr>
          <w:b/>
          <w:szCs w:val="22"/>
        </w:rPr>
      </w:pPr>
    </w:p>
    <w:p w:rsidR="00A51E76" w:rsidRPr="00A51E76" w:rsidRDefault="00A51E76" w:rsidP="00A51E76">
      <w:pPr>
        <w:tabs>
          <w:tab w:val="clear" w:pos="1239"/>
          <w:tab w:val="clear" w:pos="3686"/>
          <w:tab w:val="clear" w:pos="8845"/>
        </w:tabs>
        <w:spacing w:after="360" w:line="240" w:lineRule="exact"/>
        <w:rPr>
          <w:noProof/>
          <w:sz w:val="18"/>
          <w:szCs w:val="18"/>
        </w:rPr>
      </w:pPr>
    </w:p>
    <w:p w:rsidR="00A51E76" w:rsidRPr="00A51E76" w:rsidRDefault="00A51E76" w:rsidP="00A51E76">
      <w:pPr>
        <w:tabs>
          <w:tab w:val="clear" w:pos="1239"/>
          <w:tab w:val="clear" w:pos="3686"/>
          <w:tab w:val="clear" w:pos="8845"/>
        </w:tabs>
        <w:spacing w:after="360" w:line="240" w:lineRule="exact"/>
        <w:rPr>
          <w:noProof/>
          <w:sz w:val="18"/>
          <w:szCs w:val="18"/>
        </w:rPr>
      </w:pPr>
    </w:p>
    <w:p w:rsidR="00A51E76" w:rsidRPr="00A51E76" w:rsidRDefault="00A51E76" w:rsidP="00A51E76">
      <w:pPr>
        <w:tabs>
          <w:tab w:val="clear" w:pos="1239"/>
          <w:tab w:val="clear" w:pos="3686"/>
          <w:tab w:val="clear" w:pos="8845"/>
        </w:tabs>
        <w:spacing w:after="360" w:line="240" w:lineRule="exact"/>
        <w:rPr>
          <w:noProof/>
          <w:sz w:val="18"/>
          <w:szCs w:val="18"/>
        </w:rPr>
      </w:pPr>
    </w:p>
    <w:p w:rsidR="00A51E76" w:rsidRPr="00A51E76" w:rsidRDefault="00A51E76" w:rsidP="00A51E76">
      <w:pPr>
        <w:tabs>
          <w:tab w:val="clear" w:pos="1239"/>
          <w:tab w:val="clear" w:pos="3686"/>
          <w:tab w:val="clear" w:pos="8845"/>
        </w:tabs>
        <w:spacing w:after="360" w:line="240" w:lineRule="exact"/>
        <w:rPr>
          <w:noProof/>
          <w:sz w:val="18"/>
          <w:szCs w:val="18"/>
        </w:rPr>
      </w:pPr>
    </w:p>
    <w:p w:rsidR="00A51E76" w:rsidRPr="00A51E76" w:rsidRDefault="00A51E76" w:rsidP="00A51E76">
      <w:pPr>
        <w:tabs>
          <w:tab w:val="clear" w:pos="1239"/>
          <w:tab w:val="clear" w:pos="3686"/>
          <w:tab w:val="clear" w:pos="8845"/>
        </w:tabs>
        <w:spacing w:after="360" w:line="240" w:lineRule="exact"/>
        <w:rPr>
          <w:noProof/>
          <w:sz w:val="18"/>
          <w:szCs w:val="18"/>
        </w:rPr>
      </w:pPr>
    </w:p>
    <w:p w:rsidR="00A51E76" w:rsidRPr="00A51E76" w:rsidRDefault="00A51E76" w:rsidP="00A51E76">
      <w:pPr>
        <w:tabs>
          <w:tab w:val="clear" w:pos="1239"/>
          <w:tab w:val="clear" w:pos="3686"/>
          <w:tab w:val="clear" w:pos="8845"/>
        </w:tabs>
        <w:spacing w:after="360" w:line="240" w:lineRule="exact"/>
        <w:rPr>
          <w:noProof/>
          <w:sz w:val="18"/>
          <w:szCs w:val="18"/>
        </w:rPr>
      </w:pPr>
    </w:p>
    <w:p w:rsidR="00A51E76" w:rsidRPr="00A51E76" w:rsidRDefault="00A51E76" w:rsidP="00A51E76">
      <w:pPr>
        <w:tabs>
          <w:tab w:val="clear" w:pos="1239"/>
          <w:tab w:val="clear" w:pos="3686"/>
          <w:tab w:val="clear" w:pos="8845"/>
        </w:tabs>
        <w:spacing w:after="360" w:line="240" w:lineRule="exact"/>
        <w:rPr>
          <w:noProof/>
          <w:sz w:val="18"/>
          <w:szCs w:val="18"/>
        </w:rPr>
      </w:pPr>
    </w:p>
    <w:p w:rsidR="00A51E76" w:rsidRPr="00A51E76" w:rsidRDefault="00A51E76" w:rsidP="00A51E76">
      <w:pPr>
        <w:tabs>
          <w:tab w:val="clear" w:pos="1239"/>
          <w:tab w:val="clear" w:pos="3686"/>
          <w:tab w:val="clear" w:pos="8845"/>
        </w:tabs>
        <w:spacing w:after="360" w:line="240" w:lineRule="exact"/>
        <w:rPr>
          <w:noProof/>
          <w:sz w:val="18"/>
          <w:szCs w:val="18"/>
        </w:rPr>
      </w:pPr>
    </w:p>
    <w:p w:rsidR="00BD70AC" w:rsidRPr="00104E18" w:rsidRDefault="00A51E76" w:rsidP="00104E18">
      <w:pPr>
        <w:tabs>
          <w:tab w:val="clear" w:pos="1239"/>
          <w:tab w:val="clear" w:pos="3686"/>
          <w:tab w:val="clear" w:pos="8845"/>
        </w:tabs>
        <w:spacing w:after="360" w:line="240" w:lineRule="exact"/>
        <w:rPr>
          <w:sz w:val="18"/>
          <w:szCs w:val="18"/>
        </w:rPr>
      </w:pPr>
      <w:r w:rsidRPr="00A51E76">
        <w:rPr>
          <w:szCs w:val="22"/>
        </w:rPr>
        <w:t xml:space="preserve">Anlage zur Presseinformation des Bankenfachverbandes </w:t>
      </w:r>
      <w:r w:rsidRPr="00104E18">
        <w:rPr>
          <w:szCs w:val="22"/>
        </w:rPr>
        <w:t xml:space="preserve">vom </w:t>
      </w:r>
      <w:r w:rsidR="00104E18" w:rsidRPr="00104E18">
        <w:rPr>
          <w:szCs w:val="22"/>
        </w:rPr>
        <w:t>1. September</w:t>
      </w:r>
      <w:r w:rsidRPr="00104E18">
        <w:rPr>
          <w:szCs w:val="22"/>
        </w:rPr>
        <w:t xml:space="preserve"> </w:t>
      </w:r>
      <w:r w:rsidRPr="00A51E76">
        <w:rPr>
          <w:szCs w:val="22"/>
        </w:rPr>
        <w:t>2021</w:t>
      </w:r>
    </w:p>
    <w:sectPr w:rsidR="00BD70AC" w:rsidRPr="00104E18" w:rsidSect="00104E18">
      <w:headerReference w:type="default" r:id="rId11"/>
      <w:footerReference w:type="default" r:id="rId12"/>
      <w:headerReference w:type="first" r:id="rId13"/>
      <w:pgSz w:w="11906" w:h="16838" w:code="9"/>
      <w:pgMar w:top="3402" w:right="1361" w:bottom="1134" w:left="1701" w:header="249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3C1" w:rsidRDefault="002943C1">
      <w:r>
        <w:separator/>
      </w:r>
    </w:p>
  </w:endnote>
  <w:endnote w:type="continuationSeparator" w:id="0">
    <w:p w:rsidR="002943C1" w:rsidRDefault="0029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5A2" w:rsidRDefault="001825A2">
    <w:pPr>
      <w:jc w:val="right"/>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3C1" w:rsidRDefault="002943C1">
      <w:r>
        <w:separator/>
      </w:r>
    </w:p>
  </w:footnote>
  <w:footnote w:type="continuationSeparator" w:id="0">
    <w:p w:rsidR="002943C1" w:rsidRDefault="00294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5A2" w:rsidRDefault="001B6762">
    <w:r>
      <w:rPr>
        <w:noProof/>
        <w:sz w:val="20"/>
      </w:rPr>
      <w:drawing>
        <wp:anchor distT="0" distB="0" distL="114300" distR="114300" simplePos="0" relativeHeight="251658752" behindDoc="0" locked="1" layoutInCell="1" allowOverlap="1" wp14:anchorId="32F01FC3" wp14:editId="40FF3A2E">
          <wp:simplePos x="0" y="0"/>
          <wp:positionH relativeFrom="page">
            <wp:posOffset>0</wp:posOffset>
          </wp:positionH>
          <wp:positionV relativeFrom="page">
            <wp:posOffset>0</wp:posOffset>
          </wp:positionV>
          <wp:extent cx="7581900" cy="1424940"/>
          <wp:effectExtent l="0" t="0" r="0" b="3810"/>
          <wp:wrapNone/>
          <wp:docPr id="12" name="Bild 12" descr="briefbo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iefbogen-2"/>
                  <pic:cNvPicPr>
                    <a:picLocks noChangeAspect="1" noChangeArrowheads="1"/>
                  </pic:cNvPicPr>
                </pic:nvPicPr>
                <pic:blipFill>
                  <a:blip r:embed="rId1">
                    <a:extLst>
                      <a:ext uri="{28A0092B-C50C-407E-A947-70E740481C1C}">
                        <a14:useLocalDpi xmlns:a14="http://schemas.microsoft.com/office/drawing/2010/main" val="0"/>
                      </a:ext>
                    </a:extLst>
                  </a:blip>
                  <a:srcRect b="86697"/>
                  <a:stretch>
                    <a:fillRect/>
                  </a:stretch>
                </pic:blipFill>
                <pic:spPr bwMode="auto">
                  <a:xfrm>
                    <a:off x="0" y="0"/>
                    <a:ext cx="7581900" cy="1424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5A2" w:rsidRDefault="001B6762">
    <w:r>
      <w:rPr>
        <w:noProof/>
        <w:sz w:val="20"/>
      </w:rPr>
      <w:drawing>
        <wp:anchor distT="0" distB="0" distL="114300" distR="114300" simplePos="0" relativeHeight="251656704" behindDoc="0" locked="1" layoutInCell="1" allowOverlap="1" wp14:anchorId="2D3B070D" wp14:editId="4C8A5829">
          <wp:simplePos x="0" y="0"/>
          <wp:positionH relativeFrom="page">
            <wp:posOffset>0</wp:posOffset>
          </wp:positionH>
          <wp:positionV relativeFrom="page">
            <wp:posOffset>0</wp:posOffset>
          </wp:positionV>
          <wp:extent cx="7581900" cy="10734675"/>
          <wp:effectExtent l="0" t="0" r="0" b="9525"/>
          <wp:wrapNone/>
          <wp:docPr id="13" name="Bild 13" descr="Presse-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se-Inf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734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95ABC"/>
    <w:multiLevelType w:val="hybridMultilevel"/>
    <w:tmpl w:val="5A32B7CE"/>
    <w:lvl w:ilvl="0" w:tplc="8FA08AF4">
      <w:start w:val="1"/>
      <w:numFmt w:val="bullet"/>
      <w:lvlText w:val=""/>
      <w:lvlJc w:val="left"/>
      <w:pPr>
        <w:tabs>
          <w:tab w:val="num" w:pos="360"/>
        </w:tabs>
        <w:ind w:left="360" w:hanging="360"/>
      </w:pPr>
      <w:rPr>
        <w:rFonts w:ascii="Symbol" w:hAnsi="Symbol" w:hint="default"/>
        <w:u w:color="9999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3D7E2C"/>
    <w:multiLevelType w:val="hybridMultilevel"/>
    <w:tmpl w:val="2174B45E"/>
    <w:lvl w:ilvl="0" w:tplc="F5242172">
      <w:start w:val="1"/>
      <w:numFmt w:val="bullet"/>
      <w:pStyle w:val="AufzhlungMitPunk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AF2F8A"/>
    <w:multiLevelType w:val="hybridMultilevel"/>
    <w:tmpl w:val="DA66277E"/>
    <w:lvl w:ilvl="0" w:tplc="D7A6AC04">
      <w:start w:val="1"/>
      <w:numFmt w:val="bullet"/>
      <w:lvlText w:val=""/>
      <w:lvlJc w:val="left"/>
      <w:pPr>
        <w:tabs>
          <w:tab w:val="num" w:pos="1636"/>
        </w:tabs>
        <w:ind w:left="1503" w:hanging="227"/>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3C1"/>
    <w:rsid w:val="00036C59"/>
    <w:rsid w:val="0007149B"/>
    <w:rsid w:val="000904A9"/>
    <w:rsid w:val="000C17F8"/>
    <w:rsid w:val="00104E18"/>
    <w:rsid w:val="00114227"/>
    <w:rsid w:val="00116CCA"/>
    <w:rsid w:val="00125984"/>
    <w:rsid w:val="0016197B"/>
    <w:rsid w:val="001825A2"/>
    <w:rsid w:val="0018326E"/>
    <w:rsid w:val="001A10C2"/>
    <w:rsid w:val="001B6762"/>
    <w:rsid w:val="001D7533"/>
    <w:rsid w:val="001E6BB9"/>
    <w:rsid w:val="001F41FF"/>
    <w:rsid w:val="00266B7B"/>
    <w:rsid w:val="00274F85"/>
    <w:rsid w:val="00277A3B"/>
    <w:rsid w:val="002943C1"/>
    <w:rsid w:val="002B2EA6"/>
    <w:rsid w:val="003932BC"/>
    <w:rsid w:val="003C5A70"/>
    <w:rsid w:val="003E3A71"/>
    <w:rsid w:val="00405261"/>
    <w:rsid w:val="00423343"/>
    <w:rsid w:val="004354F4"/>
    <w:rsid w:val="004C03BD"/>
    <w:rsid w:val="00525AC1"/>
    <w:rsid w:val="0056187C"/>
    <w:rsid w:val="005D4298"/>
    <w:rsid w:val="00607FD3"/>
    <w:rsid w:val="006204B0"/>
    <w:rsid w:val="00673E26"/>
    <w:rsid w:val="006C180D"/>
    <w:rsid w:val="006C6114"/>
    <w:rsid w:val="007321DB"/>
    <w:rsid w:val="007C05A4"/>
    <w:rsid w:val="007C0E51"/>
    <w:rsid w:val="00815B37"/>
    <w:rsid w:val="00843C04"/>
    <w:rsid w:val="00884CBA"/>
    <w:rsid w:val="008D387A"/>
    <w:rsid w:val="00902F43"/>
    <w:rsid w:val="009216AE"/>
    <w:rsid w:val="00933DBA"/>
    <w:rsid w:val="00956B00"/>
    <w:rsid w:val="00983057"/>
    <w:rsid w:val="009E2D6B"/>
    <w:rsid w:val="00A040E4"/>
    <w:rsid w:val="00A16B2E"/>
    <w:rsid w:val="00A21A3E"/>
    <w:rsid w:val="00A51E76"/>
    <w:rsid w:val="00A62A4C"/>
    <w:rsid w:val="00AE3BCB"/>
    <w:rsid w:val="00AE6B36"/>
    <w:rsid w:val="00B137FF"/>
    <w:rsid w:val="00B609D9"/>
    <w:rsid w:val="00BD70AC"/>
    <w:rsid w:val="00C62920"/>
    <w:rsid w:val="00C93CDF"/>
    <w:rsid w:val="00CA695C"/>
    <w:rsid w:val="00CE443D"/>
    <w:rsid w:val="00CE6E1F"/>
    <w:rsid w:val="00D171C9"/>
    <w:rsid w:val="00D17FA7"/>
    <w:rsid w:val="00D55FC3"/>
    <w:rsid w:val="00D860EF"/>
    <w:rsid w:val="00DD17F0"/>
    <w:rsid w:val="00DF0621"/>
    <w:rsid w:val="00DF1006"/>
    <w:rsid w:val="00DF5122"/>
    <w:rsid w:val="00E36BFA"/>
    <w:rsid w:val="00E40B32"/>
    <w:rsid w:val="00E87A34"/>
    <w:rsid w:val="00F145D0"/>
    <w:rsid w:val="00F31D24"/>
    <w:rsid w:val="00F8701A"/>
    <w:rsid w:val="00FB3A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897B3E3"/>
  <w15:docId w15:val="{4E9AAC64-2D21-4271-8B01-F18650FF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tabs>
        <w:tab w:val="left" w:pos="1239"/>
        <w:tab w:val="left" w:pos="3686"/>
        <w:tab w:val="right" w:pos="8845"/>
      </w:tabs>
      <w:spacing w:line="360" w:lineRule="exact"/>
    </w:pPr>
    <w:rPr>
      <w:rFonts w:ascii="Univers" w:hAnsi="Univers"/>
      <w:sz w:val="22"/>
      <w:szCs w:val="24"/>
    </w:rPr>
  </w:style>
  <w:style w:type="paragraph" w:styleId="berschrift1">
    <w:name w:val="heading 1"/>
    <w:basedOn w:val="Standard"/>
    <w:next w:val="Grundtext"/>
    <w:qFormat/>
    <w:pPr>
      <w:keepNext/>
      <w:spacing w:after="360"/>
      <w:outlineLvl w:val="0"/>
    </w:pPr>
    <w:rPr>
      <w:rFonts w:cs="Arial"/>
      <w:b/>
      <w:bCs/>
      <w:kern w:val="32"/>
      <w:sz w:val="26"/>
      <w:szCs w:val="32"/>
    </w:rPr>
  </w:style>
  <w:style w:type="paragraph" w:styleId="berschrift2">
    <w:name w:val="heading 2"/>
    <w:basedOn w:val="Standard"/>
    <w:next w:val="Standard"/>
    <w:qFormat/>
    <w:pPr>
      <w:keepNext/>
      <w:outlineLvl w:val="1"/>
    </w:pPr>
    <w:rPr>
      <w:rFonts w:cs="Arial"/>
      <w:b/>
      <w:bCs/>
      <w:i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link w:val="GrundtextZchn"/>
    <w:pPr>
      <w:tabs>
        <w:tab w:val="clear" w:pos="1239"/>
        <w:tab w:val="clear" w:pos="3686"/>
        <w:tab w:val="clear" w:pos="8845"/>
      </w:tabs>
      <w:spacing w:after="280"/>
    </w:pPr>
  </w:style>
  <w:style w:type="paragraph" w:styleId="Datum">
    <w:name w:val="Date"/>
    <w:basedOn w:val="Standard"/>
    <w:next w:val="Betreff"/>
    <w:pPr>
      <w:spacing w:after="280"/>
    </w:pPr>
  </w:style>
  <w:style w:type="paragraph" w:customStyle="1" w:styleId="Betreff">
    <w:name w:val="Betreff"/>
    <w:basedOn w:val="Standard"/>
    <w:pPr>
      <w:spacing w:after="280"/>
    </w:pPr>
    <w:rPr>
      <w:b/>
    </w:rPr>
  </w:style>
  <w:style w:type="paragraph" w:customStyle="1" w:styleId="Adressen">
    <w:name w:val="Adressen"/>
    <w:basedOn w:val="Standard"/>
  </w:style>
  <w:style w:type="paragraph" w:customStyle="1" w:styleId="AufzhlungMitPunkt">
    <w:name w:val="AufzählungMitPunkt"/>
    <w:basedOn w:val="Grundtext"/>
    <w:pPr>
      <w:numPr>
        <w:numId w:val="2"/>
      </w:numPr>
      <w:tabs>
        <w:tab w:val="num" w:pos="357"/>
      </w:tabs>
      <w:spacing w:after="0" w:line="264" w:lineRule="auto"/>
      <w:ind w:left="357" w:hanging="357"/>
    </w:pPr>
  </w:style>
  <w:style w:type="paragraph" w:customStyle="1" w:styleId="EingercktOhnePunkt">
    <w:name w:val="EingerücktOhnePunkt"/>
    <w:basedOn w:val="Grundtext"/>
    <w:pPr>
      <w:spacing w:after="0" w:line="264" w:lineRule="auto"/>
      <w:ind w:left="714"/>
    </w:pPr>
  </w:style>
  <w:style w:type="table" w:styleId="Tabellenraster">
    <w:name w:val="Table Grid"/>
    <w:basedOn w:val="NormaleTabelle"/>
    <w:rsid w:val="004354F4"/>
    <w:pPr>
      <w:tabs>
        <w:tab w:val="left" w:pos="1239"/>
        <w:tab w:val="left" w:pos="3686"/>
        <w:tab w:val="right" w:pos="8845"/>
      </w:tabs>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ndtextZchn">
    <w:name w:val="Grundtext Zchn"/>
    <w:basedOn w:val="Absatz-Standardschriftart"/>
    <w:link w:val="Grundtext"/>
    <w:rsid w:val="004354F4"/>
    <w:rPr>
      <w:rFonts w:ascii="Univers" w:hAnsi="Univers"/>
      <w:sz w:val="22"/>
      <w:szCs w:val="24"/>
      <w:lang w:val="de-DE" w:eastAsia="de-DE" w:bidi="ar-SA"/>
    </w:rPr>
  </w:style>
  <w:style w:type="paragraph" w:styleId="StandardWeb">
    <w:name w:val="Normal (Web)"/>
    <w:basedOn w:val="Standard"/>
    <w:rsid w:val="0016197B"/>
    <w:pPr>
      <w:tabs>
        <w:tab w:val="clear" w:pos="1239"/>
        <w:tab w:val="clear" w:pos="3686"/>
        <w:tab w:val="clear" w:pos="8845"/>
      </w:tabs>
      <w:spacing w:before="100" w:beforeAutospacing="1" w:after="100" w:afterAutospacing="1" w:line="240" w:lineRule="auto"/>
    </w:pPr>
    <w:rPr>
      <w:rFonts w:ascii="Arial Unicode MS" w:eastAsia="Arial Unicode MS" w:hAnsi="Arial Unicode MS" w:cs="Arial Unicode MS"/>
      <w:sz w:val="24"/>
    </w:rPr>
  </w:style>
  <w:style w:type="character" w:styleId="Hyperlink">
    <w:name w:val="Hyperlink"/>
    <w:basedOn w:val="Absatz-Standardschriftart"/>
    <w:rsid w:val="00D860EF"/>
    <w:rPr>
      <w:color w:val="0000FF"/>
      <w:u w:val="single"/>
    </w:rPr>
  </w:style>
  <w:style w:type="paragraph" w:styleId="Kopfzeile">
    <w:name w:val="header"/>
    <w:basedOn w:val="Standard"/>
    <w:link w:val="KopfzeileZchn"/>
    <w:rsid w:val="00D171C9"/>
    <w:pPr>
      <w:tabs>
        <w:tab w:val="clear" w:pos="1239"/>
        <w:tab w:val="clear" w:pos="3686"/>
        <w:tab w:val="clear" w:pos="8845"/>
        <w:tab w:val="center" w:pos="4536"/>
        <w:tab w:val="right" w:pos="9072"/>
      </w:tabs>
      <w:spacing w:line="240" w:lineRule="auto"/>
    </w:pPr>
  </w:style>
  <w:style w:type="character" w:customStyle="1" w:styleId="KopfzeileZchn">
    <w:name w:val="Kopfzeile Zchn"/>
    <w:basedOn w:val="Absatz-Standardschriftart"/>
    <w:link w:val="Kopfzeile"/>
    <w:rsid w:val="00D171C9"/>
    <w:rPr>
      <w:rFonts w:ascii="Univers" w:hAnsi="Univers"/>
      <w:sz w:val="22"/>
      <w:szCs w:val="24"/>
    </w:rPr>
  </w:style>
  <w:style w:type="paragraph" w:styleId="Fuzeile">
    <w:name w:val="footer"/>
    <w:basedOn w:val="Standard"/>
    <w:link w:val="FuzeileZchn"/>
    <w:rsid w:val="00D171C9"/>
    <w:pPr>
      <w:tabs>
        <w:tab w:val="clear" w:pos="1239"/>
        <w:tab w:val="clear" w:pos="3686"/>
        <w:tab w:val="clear" w:pos="8845"/>
        <w:tab w:val="center" w:pos="4536"/>
        <w:tab w:val="right" w:pos="9072"/>
      </w:tabs>
      <w:spacing w:line="240" w:lineRule="auto"/>
    </w:pPr>
  </w:style>
  <w:style w:type="character" w:customStyle="1" w:styleId="FuzeileZchn">
    <w:name w:val="Fußzeile Zchn"/>
    <w:basedOn w:val="Absatz-Standardschriftart"/>
    <w:link w:val="Fuzeile"/>
    <w:rsid w:val="00D171C9"/>
    <w:rPr>
      <w:rFonts w:ascii="Univers" w:hAnsi="Univers"/>
      <w:sz w:val="22"/>
      <w:szCs w:val="24"/>
    </w:rPr>
  </w:style>
  <w:style w:type="character" w:styleId="NichtaufgelsteErwhnung">
    <w:name w:val="Unresolved Mention"/>
    <w:basedOn w:val="Absatz-Standardschriftart"/>
    <w:uiPriority w:val="99"/>
    <w:semiHidden/>
    <w:unhideWhenUsed/>
    <w:rsid w:val="00D17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sl.bfach.de/media/file/43281.KKI_2021_2022_BFACH_Studie.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ssl.bfach.de/media/file/43291.KKI_2021_2022_BFACH_Infografik.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stephan.moll@bfach.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Verband\01.%20%20Verwaltung\04_Handbuch%20bfach\07_Vorlagen\08_Markt%20und%20PR\Presse_Presseinformation_Entwurf.dotx" TargetMode="External"/></Relationships>
</file>

<file path=word/theme/theme1.xml><?xml version="1.0" encoding="utf-8"?>
<a:theme xmlns:a="http://schemas.openxmlformats.org/drawingml/2006/main" name="Larissa">
  <a:themeElements>
    <a:clrScheme name="BFACH">
      <a:dk1>
        <a:srgbClr val="000000"/>
      </a:dk1>
      <a:lt1>
        <a:srgbClr val="FFFFFF"/>
      </a:lt1>
      <a:dk2>
        <a:srgbClr val="FFFFFF"/>
      </a:dk2>
      <a:lt2>
        <a:srgbClr val="000000"/>
      </a:lt2>
      <a:accent1>
        <a:srgbClr val="000000"/>
      </a:accent1>
      <a:accent2>
        <a:srgbClr val="004E9E"/>
      </a:accent2>
      <a:accent3>
        <a:srgbClr val="AB0059"/>
      </a:accent3>
      <a:accent4>
        <a:srgbClr val="808080"/>
      </a:accent4>
      <a:accent5>
        <a:srgbClr val="FF0000"/>
      </a:accent5>
      <a:accent6>
        <a:srgbClr val="0000FF"/>
      </a:accent6>
      <a:hlink>
        <a:srgbClr val="004E9E"/>
      </a:hlink>
      <a:folHlink>
        <a:srgbClr val="AB0059"/>
      </a:folHlink>
    </a:clrScheme>
    <a:fontScheme name="BFACH">
      <a:majorFont>
        <a:latin typeface="Univers"/>
        <a:ea typeface=""/>
        <a:cs typeface=""/>
      </a:majorFont>
      <a:minorFont>
        <a:latin typeface="Univer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Presse_Presseinformation_Entwurf</Template>
  <TotalTime>0</TotalTime>
  <Pages>2</Pages>
  <Words>385</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Adresse1</vt:lpstr>
    </vt:vector>
  </TitlesOfParts>
  <Company/>
  <LinksUpToDate>false</LinksUpToDate>
  <CharactersWithSpaces>2806</CharactersWithSpaces>
  <SharedDoc>false</SharedDoc>
  <HLinks>
    <vt:vector size="6" baseType="variant">
      <vt:variant>
        <vt:i4>8192013</vt:i4>
      </vt:variant>
      <vt:variant>
        <vt:i4>0</vt:i4>
      </vt:variant>
      <vt:variant>
        <vt:i4>0</vt:i4>
      </vt:variant>
      <vt:variant>
        <vt:i4>5</vt:i4>
      </vt:variant>
      <vt:variant>
        <vt:lpwstr>mailto:stephan.moll@bfach.de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Adresse1</dc:title>
  <dc:creator>Elke Haag</dc:creator>
  <cp:lastModifiedBy>Elke Haag</cp:lastModifiedBy>
  <cp:revision>40</cp:revision>
  <cp:lastPrinted>2006-06-06T20:58:00Z</cp:lastPrinted>
  <dcterms:created xsi:type="dcterms:W3CDTF">2016-06-22T15:36:00Z</dcterms:created>
  <dcterms:modified xsi:type="dcterms:W3CDTF">2021-08-31T14:11:00Z</dcterms:modified>
</cp:coreProperties>
</file>